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F7D" w:rsidRPr="002B7F7D" w:rsidRDefault="002B7F7D" w:rsidP="002B7F7D">
      <w:pPr>
        <w:shd w:val="clear" w:color="auto" w:fill="FFFFFF"/>
        <w:spacing w:after="0" w:line="240" w:lineRule="auto"/>
        <w:rPr>
          <w:rFonts w:ascii="Arial" w:eastAsia="Times New Roman" w:hAnsi="Arial" w:cs="Arial"/>
          <w:color w:val="000000"/>
          <w:sz w:val="28"/>
          <w:szCs w:val="28"/>
        </w:rPr>
      </w:pPr>
      <w:bookmarkStart w:id="0" w:name="_GoBack"/>
      <w:r w:rsidRPr="002B7F7D">
        <w:rPr>
          <w:rFonts w:ascii="Arial" w:eastAsia="Times New Roman" w:hAnsi="Arial" w:cs="Arial"/>
          <w:color w:val="000000"/>
          <w:sz w:val="28"/>
          <w:szCs w:val="28"/>
          <w:rtl/>
        </w:rPr>
        <w:t>به صورت‌هاى گوناگونى می‌توان</w:t>
      </w:r>
      <w:r w:rsidRPr="002B7F7D">
        <w:rPr>
          <w:rFonts w:ascii="Arial" w:eastAsia="Times New Roman" w:hAnsi="Arial" w:cs="Arial"/>
          <w:color w:val="000000"/>
          <w:sz w:val="28"/>
          <w:szCs w:val="28"/>
        </w:rPr>
        <w:t xml:space="preserve"> «</w:t>
      </w:r>
      <w:hyperlink r:id="rId5" w:tgtFrame="_blank" w:history="1">
        <w:r w:rsidRPr="002B7F7D">
          <w:rPr>
            <w:rFonts w:ascii="Arial" w:eastAsia="Times New Roman" w:hAnsi="Arial" w:cs="Arial"/>
            <w:color w:val="0000FF"/>
            <w:sz w:val="28"/>
            <w:szCs w:val="28"/>
            <w:bdr w:val="none" w:sz="0" w:space="0" w:color="auto" w:frame="1"/>
            <w:rtl/>
          </w:rPr>
          <w:t>ولایت فقیه</w:t>
        </w:r>
      </w:hyperlink>
      <w:r w:rsidRPr="002B7F7D">
        <w:rPr>
          <w:rFonts w:ascii="Arial" w:eastAsia="Times New Roman" w:hAnsi="Arial" w:cs="Arial"/>
          <w:color w:val="000000"/>
          <w:sz w:val="28"/>
          <w:szCs w:val="28"/>
        </w:rPr>
        <w:t xml:space="preserve">» </w:t>
      </w:r>
      <w:r w:rsidRPr="002B7F7D">
        <w:rPr>
          <w:rFonts w:ascii="Arial" w:eastAsia="Times New Roman" w:hAnsi="Arial" w:cs="Arial"/>
          <w:color w:val="000000"/>
          <w:sz w:val="28"/>
          <w:szCs w:val="28"/>
          <w:rtl/>
        </w:rPr>
        <w:t>را اثبات کرد. در این‌جا به دلیل عقلى و نقلى در مسئله «ولایت فقیه» اکتفا می‌کنیم</w:t>
      </w:r>
      <w:r w:rsidRPr="002B7F7D">
        <w:rPr>
          <w:rFonts w:ascii="Arial" w:eastAsia="Times New Roman" w:hAnsi="Arial" w:cs="Arial"/>
          <w:color w:val="000000"/>
          <w:sz w:val="28"/>
          <w:szCs w:val="28"/>
        </w:rPr>
        <w:t>:</w:t>
      </w:r>
      <w:r w:rsidRPr="002B7F7D">
        <w:rPr>
          <w:rFonts w:ascii="Arial" w:eastAsia="Times New Roman" w:hAnsi="Arial" w:cs="Arial"/>
          <w:color w:val="000000"/>
          <w:sz w:val="28"/>
          <w:szCs w:val="28"/>
        </w:rPr>
        <w:br/>
      </w:r>
      <w:r w:rsidRPr="002B7F7D">
        <w:rPr>
          <w:rFonts w:ascii="Arial" w:eastAsia="Times New Roman" w:hAnsi="Arial" w:cs="Arial"/>
          <w:b/>
          <w:bCs/>
          <w:color w:val="000000"/>
          <w:sz w:val="28"/>
          <w:szCs w:val="28"/>
          <w:bdr w:val="none" w:sz="0" w:space="0" w:color="auto" w:frame="1"/>
          <w:rtl/>
        </w:rPr>
        <w:t>أ. دلیل عقلى</w:t>
      </w:r>
      <w:r w:rsidRPr="002B7F7D">
        <w:rPr>
          <w:rFonts w:ascii="Arial" w:eastAsia="Times New Roman" w:hAnsi="Arial" w:cs="Arial"/>
          <w:color w:val="000000"/>
          <w:sz w:val="28"/>
          <w:szCs w:val="28"/>
        </w:rPr>
        <w:br/>
      </w:r>
      <w:r w:rsidRPr="002B7F7D">
        <w:rPr>
          <w:rFonts w:ascii="Arial" w:eastAsia="Times New Roman" w:hAnsi="Arial" w:cs="Arial"/>
          <w:color w:val="000000"/>
          <w:sz w:val="28"/>
          <w:szCs w:val="28"/>
          <w:rtl/>
        </w:rPr>
        <w:t>بدون شک از یک سو جامعه به زمامدار و رهبر نیاز دارد. از سوى دیگر مسائل حکومتى امورى نیست که از حوزه دین خارج باشد: بلکه</w:t>
      </w:r>
      <w:r w:rsidRPr="002B7F7D">
        <w:rPr>
          <w:rFonts w:ascii="Arial" w:eastAsia="Times New Roman" w:hAnsi="Arial" w:cs="Arial"/>
          <w:color w:val="000000"/>
          <w:sz w:val="28"/>
          <w:szCs w:val="28"/>
        </w:rPr>
        <w:t> </w:t>
      </w:r>
      <w:hyperlink r:id="rId6" w:tgtFrame="_blank" w:history="1">
        <w:r w:rsidRPr="002B7F7D">
          <w:rPr>
            <w:rFonts w:ascii="Arial" w:eastAsia="Times New Roman" w:hAnsi="Arial" w:cs="Arial"/>
            <w:color w:val="0000FF"/>
            <w:sz w:val="28"/>
            <w:szCs w:val="28"/>
            <w:bdr w:val="none" w:sz="0" w:space="0" w:color="auto" w:frame="1"/>
            <w:rtl/>
          </w:rPr>
          <w:t>عناصر جهان شمول دین</w:t>
        </w:r>
      </w:hyperlink>
      <w:r w:rsidRPr="002B7F7D">
        <w:rPr>
          <w:rFonts w:ascii="Arial" w:eastAsia="Times New Roman" w:hAnsi="Arial" w:cs="Arial"/>
          <w:color w:val="000000"/>
          <w:sz w:val="28"/>
          <w:szCs w:val="28"/>
        </w:rPr>
        <w:t> </w:t>
      </w:r>
      <w:r w:rsidRPr="002B7F7D">
        <w:rPr>
          <w:rFonts w:ascii="Arial" w:eastAsia="Times New Roman" w:hAnsi="Arial" w:cs="Arial"/>
          <w:color w:val="000000"/>
          <w:sz w:val="28"/>
          <w:szCs w:val="28"/>
          <w:rtl/>
        </w:rPr>
        <w:t>در این زمینه به صورت یک نظام کامل در</w:t>
      </w:r>
      <w:r w:rsidRPr="002B7F7D">
        <w:rPr>
          <w:rFonts w:ascii="Arial" w:eastAsia="Times New Roman" w:hAnsi="Arial" w:cs="Arial"/>
          <w:color w:val="000000"/>
          <w:sz w:val="28"/>
          <w:szCs w:val="28"/>
        </w:rPr>
        <w:t> </w:t>
      </w:r>
      <w:hyperlink r:id="rId7" w:tgtFrame="_blank" w:history="1">
        <w:r w:rsidRPr="002B7F7D">
          <w:rPr>
            <w:rFonts w:ascii="Arial" w:eastAsia="Times New Roman" w:hAnsi="Arial" w:cs="Arial"/>
            <w:color w:val="0000FF"/>
            <w:sz w:val="28"/>
            <w:szCs w:val="28"/>
            <w:bdr w:val="none" w:sz="0" w:space="0" w:color="auto" w:frame="1"/>
            <w:rtl/>
          </w:rPr>
          <w:t>دین خاتم</w:t>
        </w:r>
      </w:hyperlink>
      <w:r w:rsidRPr="002B7F7D">
        <w:rPr>
          <w:rFonts w:ascii="Arial" w:eastAsia="Times New Roman" w:hAnsi="Arial" w:cs="Arial"/>
          <w:color w:val="000000"/>
          <w:sz w:val="28"/>
          <w:szCs w:val="28"/>
        </w:rPr>
        <w:t> </w:t>
      </w:r>
      <w:r w:rsidRPr="002B7F7D">
        <w:rPr>
          <w:rFonts w:ascii="Arial" w:eastAsia="Times New Roman" w:hAnsi="Arial" w:cs="Arial"/>
          <w:color w:val="000000"/>
          <w:sz w:val="28"/>
          <w:szCs w:val="28"/>
          <w:rtl/>
        </w:rPr>
        <w:t>ارایه شده است و</w:t>
      </w:r>
      <w:hyperlink r:id="rId8" w:tgtFrame="_blank" w:history="1">
        <w:r w:rsidRPr="002B7F7D">
          <w:rPr>
            <w:rFonts w:ascii="Arial" w:eastAsia="Times New Roman" w:hAnsi="Arial" w:cs="Arial"/>
            <w:color w:val="0000FF"/>
            <w:sz w:val="28"/>
            <w:szCs w:val="28"/>
            <w:bdr w:val="none" w:sz="0" w:space="0" w:color="auto" w:frame="1"/>
            <w:rtl/>
          </w:rPr>
          <w:t>عقل</w:t>
        </w:r>
      </w:hyperlink>
      <w:r w:rsidRPr="002B7F7D">
        <w:rPr>
          <w:rFonts w:ascii="Arial" w:eastAsia="Times New Roman" w:hAnsi="Arial" w:cs="Arial"/>
          <w:color w:val="000000"/>
          <w:sz w:val="28"/>
          <w:szCs w:val="28"/>
        </w:rPr>
        <w:t> </w:t>
      </w:r>
      <w:r w:rsidRPr="002B7F7D">
        <w:rPr>
          <w:rFonts w:ascii="Arial" w:eastAsia="Times New Roman" w:hAnsi="Arial" w:cs="Arial"/>
          <w:color w:val="000000"/>
          <w:sz w:val="28"/>
          <w:szCs w:val="28"/>
          <w:rtl/>
        </w:rPr>
        <w:t>نه تنها در دخالت دین در زمینه زمام‌دارى منعى نمی‌بیند، بلکه به مقتضاى حکمت بر ضرورت آن اصرار دارد. حال اگر حکومت را از منظر دین نگاه کنیم و وظیفه اصلى آن‌را صیانت از ارزش‌هاى الهى و آرمان‌هاى اسلامى و احکام شرعى بدانیم، عقل حکم می‌کند، بر قله چنین حکومتى می‌بایست کسى قرار بگیرد که به احکام الهى و وظایف دینى آگاهى دارد و می‌تواند زمامدار مردم باشد. اگر معصوم در میان مردم بود، عقل او را سزاوار این منصب می‌شمرد، ولى اکنون که او نیست، فقیهان عادل قادر بر اداره جامعه را لایق این مقام معرفى می‌کند</w:t>
      </w:r>
      <w:r w:rsidRPr="002B7F7D">
        <w:rPr>
          <w:rFonts w:ascii="Arial" w:eastAsia="Times New Roman" w:hAnsi="Arial" w:cs="Arial"/>
          <w:color w:val="000000"/>
          <w:sz w:val="28"/>
          <w:szCs w:val="28"/>
        </w:rPr>
        <w:t>.</w:t>
      </w:r>
      <w:r w:rsidRPr="002B7F7D">
        <w:rPr>
          <w:rFonts w:ascii="Arial" w:eastAsia="Times New Roman" w:hAnsi="Arial" w:cs="Arial"/>
          <w:color w:val="000000"/>
          <w:sz w:val="28"/>
          <w:szCs w:val="28"/>
        </w:rPr>
        <w:br/>
      </w:r>
      <w:r w:rsidRPr="002B7F7D">
        <w:rPr>
          <w:rFonts w:ascii="Arial" w:eastAsia="Times New Roman" w:hAnsi="Arial" w:cs="Arial"/>
          <w:color w:val="000000"/>
          <w:sz w:val="28"/>
          <w:szCs w:val="28"/>
          <w:rtl/>
        </w:rPr>
        <w:t>به دیگر سخن، عقل حکم می‌کند که در رأس یک حکومت اعتقادى و آرمانى، باید شخصى قرار بگیرد که از آرمان آگاهى دارد و در شریعت اسلام، که آیین احکام و قوانین الهى است، مصداق چنین شخصى فقیهان هستند</w:t>
      </w:r>
      <w:r w:rsidRPr="002B7F7D">
        <w:rPr>
          <w:rFonts w:ascii="Arial" w:eastAsia="Times New Roman" w:hAnsi="Arial" w:cs="Arial"/>
          <w:color w:val="000000"/>
          <w:sz w:val="28"/>
          <w:szCs w:val="28"/>
        </w:rPr>
        <w:t>.</w:t>
      </w:r>
      <w:r w:rsidRPr="002B7F7D">
        <w:rPr>
          <w:rFonts w:ascii="Arial" w:eastAsia="Times New Roman" w:hAnsi="Arial" w:cs="Arial"/>
          <w:color w:val="000000"/>
          <w:sz w:val="28"/>
          <w:szCs w:val="28"/>
        </w:rPr>
        <w:br/>
      </w:r>
      <w:r w:rsidRPr="002B7F7D">
        <w:rPr>
          <w:rFonts w:ascii="Arial" w:eastAsia="Times New Roman" w:hAnsi="Arial" w:cs="Arial"/>
          <w:b/>
          <w:bCs/>
          <w:color w:val="000000"/>
          <w:sz w:val="28"/>
          <w:szCs w:val="28"/>
          <w:bdr w:val="none" w:sz="0" w:space="0" w:color="auto" w:frame="1"/>
          <w:rtl/>
        </w:rPr>
        <w:t>ب. دلیل نقلى</w:t>
      </w:r>
      <w:r w:rsidRPr="002B7F7D">
        <w:rPr>
          <w:rFonts w:ascii="Arial" w:eastAsia="Times New Roman" w:hAnsi="Arial" w:cs="Arial"/>
          <w:color w:val="000000"/>
          <w:sz w:val="28"/>
          <w:szCs w:val="28"/>
        </w:rPr>
        <w:br/>
      </w:r>
      <w:r w:rsidRPr="002B7F7D">
        <w:rPr>
          <w:rFonts w:ascii="Arial" w:eastAsia="Times New Roman" w:hAnsi="Arial" w:cs="Arial"/>
          <w:color w:val="000000"/>
          <w:sz w:val="28"/>
          <w:szCs w:val="28"/>
          <w:rtl/>
        </w:rPr>
        <w:t>براى اثبات ولایت فقیه به روایات فراوانى استناد شده است که برخى از آنها عبارتند از</w:t>
      </w:r>
      <w:r w:rsidRPr="002B7F7D">
        <w:rPr>
          <w:rFonts w:ascii="Arial" w:eastAsia="Times New Roman" w:hAnsi="Arial" w:cs="Arial"/>
          <w:color w:val="000000"/>
          <w:sz w:val="28"/>
          <w:szCs w:val="28"/>
        </w:rPr>
        <w:t>:</w:t>
      </w:r>
      <w:r w:rsidRPr="002B7F7D">
        <w:rPr>
          <w:rFonts w:ascii="Arial" w:eastAsia="Times New Roman" w:hAnsi="Arial" w:cs="Arial"/>
          <w:color w:val="000000"/>
          <w:sz w:val="28"/>
          <w:szCs w:val="28"/>
        </w:rPr>
        <w:br/>
        <w:t xml:space="preserve">1. </w:t>
      </w:r>
      <w:r w:rsidRPr="002B7F7D">
        <w:rPr>
          <w:rFonts w:ascii="Arial" w:eastAsia="Times New Roman" w:hAnsi="Arial" w:cs="Arial"/>
          <w:color w:val="000000"/>
          <w:sz w:val="28"/>
          <w:szCs w:val="28"/>
          <w:rtl/>
        </w:rPr>
        <w:t>مرحوم صدوق از امیرالمؤمنین علی‏(ع) نقل می‌کند که رسول خدا‏(ص) فرمودند: «اللهم ارحم خلفایى»(خدایا! جانشینان مرا مورد رحمت خویش قرار ده)، از آن‌حضرت سؤال شد: جانشینان شما چه کسانى هستند؟ حضرت فرمود: «الّذین یأتون من بعدى یروون حدیثى و سنّتى»(آنان که بعد از من می‌آیند و حدیث و سنّت مرا نقل می‌کنند</w:t>
      </w:r>
      <w:r w:rsidRPr="002B7F7D">
        <w:rPr>
          <w:rFonts w:ascii="Arial" w:eastAsia="Times New Roman" w:hAnsi="Arial" w:cs="Arial"/>
          <w:color w:val="000000"/>
          <w:sz w:val="28"/>
          <w:szCs w:val="28"/>
        </w:rPr>
        <w:t>).</w:t>
      </w:r>
      <w:r w:rsidRPr="002B7F7D">
        <w:rPr>
          <w:rFonts w:ascii="Arial" w:eastAsia="Times New Roman" w:hAnsi="Arial" w:cs="Arial"/>
          <w:color w:val="000000"/>
          <w:sz w:val="28"/>
          <w:szCs w:val="28"/>
        </w:rPr>
        <w:br/>
      </w:r>
      <w:r w:rsidRPr="002B7F7D">
        <w:rPr>
          <w:rFonts w:ascii="Arial" w:eastAsia="Times New Roman" w:hAnsi="Arial" w:cs="Arial"/>
          <w:color w:val="000000"/>
          <w:sz w:val="28"/>
          <w:szCs w:val="28"/>
          <w:rtl/>
        </w:rPr>
        <w:t>در هر روایتی دو بحث ضرورت دارد</w:t>
      </w:r>
      <w:r w:rsidRPr="002B7F7D">
        <w:rPr>
          <w:rFonts w:ascii="Arial" w:eastAsia="Times New Roman" w:hAnsi="Arial" w:cs="Arial"/>
          <w:color w:val="000000"/>
          <w:sz w:val="28"/>
          <w:szCs w:val="28"/>
        </w:rPr>
        <w:t>:</w:t>
      </w:r>
      <w:r w:rsidRPr="002B7F7D">
        <w:rPr>
          <w:rFonts w:ascii="Arial" w:eastAsia="Times New Roman" w:hAnsi="Arial" w:cs="Arial"/>
          <w:color w:val="000000"/>
          <w:sz w:val="28"/>
          <w:szCs w:val="28"/>
        </w:rPr>
        <w:br/>
      </w:r>
      <w:r w:rsidRPr="002B7F7D">
        <w:rPr>
          <w:rFonts w:ascii="Arial" w:eastAsia="Times New Roman" w:hAnsi="Arial" w:cs="Arial"/>
          <w:color w:val="000000"/>
          <w:sz w:val="28"/>
          <w:szCs w:val="28"/>
          <w:rtl/>
        </w:rPr>
        <w:t>بحث سندى تا اعتبار آن احراز شود</w:t>
      </w:r>
      <w:r w:rsidRPr="002B7F7D">
        <w:rPr>
          <w:rFonts w:ascii="Arial" w:eastAsia="Times New Roman" w:hAnsi="Arial" w:cs="Arial"/>
          <w:color w:val="000000"/>
          <w:sz w:val="28"/>
          <w:szCs w:val="28"/>
        </w:rPr>
        <w:t>.</w:t>
      </w:r>
      <w:r w:rsidRPr="002B7F7D">
        <w:rPr>
          <w:rFonts w:ascii="Arial" w:eastAsia="Times New Roman" w:hAnsi="Arial" w:cs="Arial"/>
          <w:color w:val="000000"/>
          <w:sz w:val="28"/>
          <w:szCs w:val="28"/>
        </w:rPr>
        <w:br/>
      </w:r>
      <w:r w:rsidRPr="002B7F7D">
        <w:rPr>
          <w:rFonts w:ascii="Arial" w:eastAsia="Times New Roman" w:hAnsi="Arial" w:cs="Arial"/>
          <w:color w:val="000000"/>
          <w:sz w:val="28"/>
          <w:szCs w:val="28"/>
          <w:rtl/>
        </w:rPr>
        <w:t>بحث دلالى تا نحوه دلالت آن بر مطلوب ارزیابى گردد</w:t>
      </w:r>
      <w:r w:rsidRPr="002B7F7D">
        <w:rPr>
          <w:rFonts w:ascii="Arial" w:eastAsia="Times New Roman" w:hAnsi="Arial" w:cs="Arial"/>
          <w:color w:val="000000"/>
          <w:sz w:val="28"/>
          <w:szCs w:val="28"/>
        </w:rPr>
        <w:t>.</w:t>
      </w:r>
      <w:r w:rsidRPr="002B7F7D">
        <w:rPr>
          <w:rFonts w:ascii="Arial" w:eastAsia="Times New Roman" w:hAnsi="Arial" w:cs="Arial"/>
          <w:color w:val="000000"/>
          <w:sz w:val="28"/>
          <w:szCs w:val="28"/>
        </w:rPr>
        <w:br/>
      </w:r>
      <w:r w:rsidRPr="002B7F7D">
        <w:rPr>
          <w:rFonts w:ascii="Arial" w:eastAsia="Times New Roman" w:hAnsi="Arial" w:cs="Arial"/>
          <w:color w:val="000000"/>
          <w:sz w:val="28"/>
          <w:szCs w:val="28"/>
          <w:rtl/>
        </w:rPr>
        <w:t>از آن‌جا که روایت مزبور به سندهاى مختلف و در کتب گوناگون نقل شده،</w:t>
      </w:r>
      <w:hyperlink r:id="rId9" w:tooltip="" w:history="1">
        <w:r w:rsidRPr="002B7F7D">
          <w:rPr>
            <w:rFonts w:ascii="Arial" w:eastAsia="Times New Roman" w:hAnsi="Arial" w:cs="Arial"/>
            <w:color w:val="0000FF"/>
            <w:sz w:val="28"/>
            <w:szCs w:val="28"/>
            <w:bdr w:val="none" w:sz="0" w:space="0" w:color="auto" w:frame="1"/>
          </w:rPr>
          <w:t>[1]</w:t>
        </w:r>
      </w:hyperlink>
      <w:r w:rsidRPr="002B7F7D">
        <w:rPr>
          <w:rFonts w:ascii="Arial" w:eastAsia="Times New Roman" w:hAnsi="Arial" w:cs="Arial"/>
          <w:color w:val="000000"/>
          <w:sz w:val="28"/>
          <w:szCs w:val="28"/>
        </w:rPr>
        <w:t> </w:t>
      </w:r>
      <w:r w:rsidRPr="002B7F7D">
        <w:rPr>
          <w:rFonts w:ascii="Arial" w:eastAsia="Times New Roman" w:hAnsi="Arial" w:cs="Arial"/>
          <w:color w:val="000000"/>
          <w:sz w:val="28"/>
          <w:szCs w:val="28"/>
          <w:rtl/>
        </w:rPr>
        <w:t>به صدور آن اطمینان داریم و شکى در اعتبار آن راه ندارد</w:t>
      </w:r>
      <w:r w:rsidRPr="002B7F7D">
        <w:rPr>
          <w:rFonts w:ascii="Arial" w:eastAsia="Times New Roman" w:hAnsi="Arial" w:cs="Arial"/>
          <w:color w:val="000000"/>
          <w:sz w:val="28"/>
          <w:szCs w:val="28"/>
        </w:rPr>
        <w:t>.</w:t>
      </w:r>
      <w:r w:rsidRPr="002B7F7D">
        <w:rPr>
          <w:rFonts w:ascii="Arial" w:eastAsia="Times New Roman" w:hAnsi="Arial" w:cs="Arial"/>
          <w:color w:val="000000"/>
          <w:sz w:val="28"/>
          <w:szCs w:val="28"/>
        </w:rPr>
        <w:br/>
      </w:r>
      <w:r w:rsidRPr="002B7F7D">
        <w:rPr>
          <w:rFonts w:ascii="Arial" w:eastAsia="Times New Roman" w:hAnsi="Arial" w:cs="Arial"/>
          <w:color w:val="000000"/>
          <w:sz w:val="28"/>
          <w:szCs w:val="28"/>
          <w:rtl/>
        </w:rPr>
        <w:t>براى توضیح چگونگى دلالت این روایت بر «ولایت فقیه» باید به دو نکته توجّه کرد</w:t>
      </w:r>
      <w:r w:rsidRPr="002B7F7D">
        <w:rPr>
          <w:rFonts w:ascii="Arial" w:eastAsia="Times New Roman" w:hAnsi="Arial" w:cs="Arial"/>
          <w:color w:val="000000"/>
          <w:sz w:val="28"/>
          <w:szCs w:val="28"/>
        </w:rPr>
        <w:t>:</w:t>
      </w:r>
      <w:r w:rsidRPr="002B7F7D">
        <w:rPr>
          <w:rFonts w:ascii="Arial" w:eastAsia="Times New Roman" w:hAnsi="Arial" w:cs="Arial"/>
          <w:color w:val="000000"/>
          <w:sz w:val="28"/>
          <w:szCs w:val="28"/>
        </w:rPr>
        <w:br/>
      </w:r>
      <w:r w:rsidRPr="002B7F7D">
        <w:rPr>
          <w:rFonts w:ascii="Arial" w:eastAsia="Times New Roman" w:hAnsi="Arial" w:cs="Arial"/>
          <w:color w:val="000000"/>
          <w:sz w:val="28"/>
          <w:szCs w:val="28"/>
          <w:rtl/>
        </w:rPr>
        <w:t>أ. نبى اکرم(ص) از سه شأن عمده برخوردار بودند</w:t>
      </w:r>
      <w:r w:rsidRPr="002B7F7D">
        <w:rPr>
          <w:rFonts w:ascii="Arial" w:eastAsia="Times New Roman" w:hAnsi="Arial" w:cs="Arial"/>
          <w:color w:val="000000"/>
          <w:sz w:val="28"/>
          <w:szCs w:val="28"/>
        </w:rPr>
        <w:t>:</w:t>
      </w:r>
      <w:r w:rsidRPr="002B7F7D">
        <w:rPr>
          <w:rFonts w:ascii="Arial" w:eastAsia="Times New Roman" w:hAnsi="Arial" w:cs="Arial"/>
          <w:color w:val="000000"/>
          <w:sz w:val="28"/>
          <w:szCs w:val="28"/>
        </w:rPr>
        <w:br/>
      </w:r>
      <w:r w:rsidRPr="002B7F7D">
        <w:rPr>
          <w:rFonts w:ascii="Arial" w:eastAsia="Times New Roman" w:hAnsi="Arial" w:cs="Arial"/>
          <w:color w:val="000000"/>
          <w:sz w:val="28"/>
          <w:szCs w:val="28"/>
          <w:rtl/>
        </w:rPr>
        <w:t>رسالت: تبلیغ آیات‏ الهى و رساندن احکام شرعى و راهنمایى مردم</w:t>
      </w:r>
      <w:r w:rsidRPr="002B7F7D">
        <w:rPr>
          <w:rFonts w:ascii="Arial" w:eastAsia="Times New Roman" w:hAnsi="Arial" w:cs="Arial"/>
          <w:color w:val="000000"/>
          <w:sz w:val="28"/>
          <w:szCs w:val="28"/>
        </w:rPr>
        <w:t>.</w:t>
      </w:r>
      <w:r w:rsidRPr="002B7F7D">
        <w:rPr>
          <w:rFonts w:ascii="Arial" w:eastAsia="Times New Roman" w:hAnsi="Arial" w:cs="Arial"/>
          <w:color w:val="000000"/>
          <w:sz w:val="28"/>
          <w:szCs w:val="28"/>
        </w:rPr>
        <w:br/>
      </w:r>
      <w:r w:rsidRPr="002B7F7D">
        <w:rPr>
          <w:rFonts w:ascii="Arial" w:eastAsia="Times New Roman" w:hAnsi="Arial" w:cs="Arial"/>
          <w:color w:val="000000"/>
          <w:sz w:val="28"/>
          <w:szCs w:val="28"/>
          <w:rtl/>
        </w:rPr>
        <w:t>قضاوت: داورى در موارد اختلاف و رفع خصومت</w:t>
      </w:r>
      <w:r w:rsidRPr="002B7F7D">
        <w:rPr>
          <w:rFonts w:ascii="Arial" w:eastAsia="Times New Roman" w:hAnsi="Arial" w:cs="Arial"/>
          <w:color w:val="000000"/>
          <w:sz w:val="28"/>
          <w:szCs w:val="28"/>
        </w:rPr>
        <w:t>.</w:t>
      </w:r>
      <w:r w:rsidRPr="002B7F7D">
        <w:rPr>
          <w:rFonts w:ascii="Arial" w:eastAsia="Times New Roman" w:hAnsi="Arial" w:cs="Arial"/>
          <w:color w:val="000000"/>
          <w:sz w:val="28"/>
          <w:szCs w:val="28"/>
        </w:rPr>
        <w:br/>
      </w:r>
      <w:r w:rsidRPr="002B7F7D">
        <w:rPr>
          <w:rFonts w:ascii="Arial" w:eastAsia="Times New Roman" w:hAnsi="Arial" w:cs="Arial"/>
          <w:color w:val="000000"/>
          <w:sz w:val="28"/>
          <w:szCs w:val="28"/>
          <w:rtl/>
        </w:rPr>
        <w:t>ولایت: زمام‌دارى جامعه اسلامى و تدبیر آن</w:t>
      </w:r>
      <w:r w:rsidRPr="002B7F7D">
        <w:rPr>
          <w:rFonts w:ascii="Arial" w:eastAsia="Times New Roman" w:hAnsi="Arial" w:cs="Arial"/>
          <w:color w:val="000000"/>
          <w:sz w:val="28"/>
          <w:szCs w:val="28"/>
        </w:rPr>
        <w:t>.</w:t>
      </w:r>
      <w:r w:rsidRPr="002B7F7D">
        <w:rPr>
          <w:rFonts w:ascii="Arial" w:eastAsia="Times New Roman" w:hAnsi="Arial" w:cs="Arial"/>
          <w:color w:val="000000"/>
          <w:sz w:val="28"/>
          <w:szCs w:val="28"/>
        </w:rPr>
        <w:br/>
      </w:r>
      <w:r w:rsidRPr="002B7F7D">
        <w:rPr>
          <w:rFonts w:ascii="Arial" w:eastAsia="Times New Roman" w:hAnsi="Arial" w:cs="Arial"/>
          <w:color w:val="000000"/>
          <w:sz w:val="28"/>
          <w:szCs w:val="28"/>
          <w:rtl/>
        </w:rPr>
        <w:t>ب. مراد از «کسانى که بعد از پیامبر می‌آیند و حدیث و</w:t>
      </w:r>
      <w:r w:rsidRPr="002B7F7D">
        <w:rPr>
          <w:rFonts w:ascii="Arial" w:eastAsia="Times New Roman" w:hAnsi="Arial" w:cs="Arial"/>
          <w:color w:val="000000"/>
          <w:sz w:val="28"/>
          <w:szCs w:val="28"/>
        </w:rPr>
        <w:t> </w:t>
      </w:r>
      <w:hyperlink r:id="rId10" w:tgtFrame="_blank" w:history="1">
        <w:r w:rsidRPr="002B7F7D">
          <w:rPr>
            <w:rFonts w:ascii="Arial" w:eastAsia="Times New Roman" w:hAnsi="Arial" w:cs="Arial"/>
            <w:color w:val="0000FF"/>
            <w:sz w:val="28"/>
            <w:szCs w:val="28"/>
            <w:bdr w:val="none" w:sz="0" w:space="0" w:color="auto" w:frame="1"/>
            <w:rtl/>
          </w:rPr>
          <w:t>سنّت</w:t>
        </w:r>
      </w:hyperlink>
      <w:r w:rsidRPr="002B7F7D">
        <w:rPr>
          <w:rFonts w:ascii="Arial" w:eastAsia="Times New Roman" w:hAnsi="Arial" w:cs="Arial"/>
          <w:color w:val="000000"/>
          <w:sz w:val="28"/>
          <w:szCs w:val="28"/>
        </w:rPr>
        <w:t> </w:t>
      </w:r>
      <w:r w:rsidRPr="002B7F7D">
        <w:rPr>
          <w:rFonts w:ascii="Arial" w:eastAsia="Times New Roman" w:hAnsi="Arial" w:cs="Arial"/>
          <w:color w:val="000000"/>
          <w:sz w:val="28"/>
          <w:szCs w:val="28"/>
          <w:rtl/>
        </w:rPr>
        <w:t>او را نقل می‌کنند» فقیهان است، نه راویان و محدّثان؛ زیرا یک راوى که تنها نقل حدیث می‌کند، نمی‌تواند تشخیص دهد که آیا آنچه نقل می‌نماید، حدیث و سنت خود آن‌حضرت ‏ است یا نه؟ او تنها الفاظى که شنیده، یا عملى را که دیده، حکایت می‌کند، بدون آن‌که وجه صدور این الفاظ یا اعمال را بداند و معارض یا مخصّص یا مقیّد آن‌را بشناسد و نحوه جمع آن‌را با چنین معارض‌هایى بداند. کسى که از این امور آگاه است، فردى است که به مقام اجتهاد و افتاء رسیده و به درجه شامخ فقاهت نائل شده باشد</w:t>
      </w:r>
      <w:r w:rsidRPr="002B7F7D">
        <w:rPr>
          <w:rFonts w:ascii="Arial" w:eastAsia="Times New Roman" w:hAnsi="Arial" w:cs="Arial"/>
          <w:color w:val="000000"/>
          <w:sz w:val="28"/>
          <w:szCs w:val="28"/>
        </w:rPr>
        <w:t>.</w:t>
      </w:r>
      <w:r w:rsidRPr="002B7F7D">
        <w:rPr>
          <w:rFonts w:ascii="Arial" w:eastAsia="Times New Roman" w:hAnsi="Arial" w:cs="Arial"/>
          <w:color w:val="000000"/>
          <w:sz w:val="28"/>
          <w:szCs w:val="28"/>
        </w:rPr>
        <w:br/>
      </w:r>
      <w:r w:rsidRPr="002B7F7D">
        <w:rPr>
          <w:rFonts w:ascii="Arial" w:eastAsia="Times New Roman" w:hAnsi="Arial" w:cs="Arial"/>
          <w:color w:val="000000"/>
          <w:sz w:val="28"/>
          <w:szCs w:val="28"/>
          <w:rtl/>
        </w:rPr>
        <w:t>حال با توجّه به این دو نکته، حاصل مفاد این حدیث چنین خواهد بود: «فقیهان جانشینان نبى اکرم(ص) ‏می‌باشند» و چون آن‌حضرت شئون مختلفى داشته و در این‌جا شأن خاصّى براى جانشین ذکر نشده، پس فقیهان در تمامى آن شئون، جانشین پیامبر می‌باشند</w:t>
      </w:r>
      <w:r w:rsidRPr="002B7F7D">
        <w:rPr>
          <w:rFonts w:ascii="Arial" w:eastAsia="Times New Roman" w:hAnsi="Arial" w:cs="Arial"/>
          <w:color w:val="000000"/>
          <w:sz w:val="28"/>
          <w:szCs w:val="28"/>
        </w:rPr>
        <w:t>.</w:t>
      </w:r>
      <w:hyperlink r:id="rId11" w:tooltip="" w:history="1">
        <w:r w:rsidRPr="002B7F7D">
          <w:rPr>
            <w:rFonts w:ascii="Arial" w:eastAsia="Times New Roman" w:hAnsi="Arial" w:cs="Arial"/>
            <w:color w:val="0000FF"/>
            <w:sz w:val="28"/>
            <w:szCs w:val="28"/>
            <w:bdr w:val="none" w:sz="0" w:space="0" w:color="auto" w:frame="1"/>
          </w:rPr>
          <w:t>[2]</w:t>
        </w:r>
      </w:hyperlink>
      <w:r w:rsidRPr="002B7F7D">
        <w:rPr>
          <w:rFonts w:ascii="Arial" w:eastAsia="Times New Roman" w:hAnsi="Arial" w:cs="Arial"/>
          <w:color w:val="000000"/>
          <w:sz w:val="28"/>
          <w:szCs w:val="28"/>
        </w:rPr>
        <w:br/>
      </w:r>
      <w:r w:rsidRPr="002B7F7D">
        <w:rPr>
          <w:rFonts w:ascii="Arial" w:eastAsia="Times New Roman" w:hAnsi="Arial" w:cs="Arial"/>
          <w:color w:val="000000"/>
          <w:sz w:val="28"/>
          <w:szCs w:val="28"/>
          <w:rtl/>
        </w:rPr>
        <w:t>برخى در استدلال به این روایت و امثال آن که در آن واژه «خلیفه» وارد شده، مناقشه و ادّعا کرده‌اند</w:t>
      </w:r>
      <w:r w:rsidRPr="002B7F7D">
        <w:rPr>
          <w:rFonts w:ascii="Arial" w:eastAsia="Times New Roman" w:hAnsi="Arial" w:cs="Arial"/>
          <w:color w:val="000000"/>
          <w:sz w:val="28"/>
          <w:szCs w:val="28"/>
        </w:rPr>
        <w:t>:</w:t>
      </w:r>
      <w:hyperlink r:id="rId12" w:tooltip="" w:history="1">
        <w:r w:rsidRPr="002B7F7D">
          <w:rPr>
            <w:rFonts w:ascii="Arial" w:eastAsia="Times New Roman" w:hAnsi="Arial" w:cs="Arial"/>
            <w:color w:val="0000FF"/>
            <w:sz w:val="28"/>
            <w:szCs w:val="28"/>
            <w:bdr w:val="none" w:sz="0" w:space="0" w:color="auto" w:frame="1"/>
          </w:rPr>
          <w:t>[3]</w:t>
        </w:r>
      </w:hyperlink>
      <w:r w:rsidRPr="002B7F7D">
        <w:rPr>
          <w:rFonts w:ascii="Arial" w:eastAsia="Times New Roman" w:hAnsi="Arial" w:cs="Arial"/>
          <w:color w:val="000000"/>
          <w:sz w:val="28"/>
          <w:szCs w:val="28"/>
        </w:rPr>
        <w:br/>
        <w:t>«</w:t>
      </w:r>
      <w:r w:rsidRPr="002B7F7D">
        <w:rPr>
          <w:rFonts w:ascii="Arial" w:eastAsia="Times New Roman" w:hAnsi="Arial" w:cs="Arial"/>
          <w:color w:val="000000"/>
          <w:sz w:val="28"/>
          <w:szCs w:val="28"/>
          <w:rtl/>
        </w:rPr>
        <w:t>خلیفه داراى دو معنا می‌باشد</w:t>
      </w:r>
      <w:r w:rsidRPr="002B7F7D">
        <w:rPr>
          <w:rFonts w:ascii="Arial" w:eastAsia="Times New Roman" w:hAnsi="Arial" w:cs="Arial"/>
          <w:color w:val="000000"/>
          <w:sz w:val="28"/>
          <w:szCs w:val="28"/>
        </w:rPr>
        <w:t>:</w:t>
      </w:r>
      <w:r w:rsidRPr="002B7F7D">
        <w:rPr>
          <w:rFonts w:ascii="Arial" w:eastAsia="Times New Roman" w:hAnsi="Arial" w:cs="Arial"/>
          <w:color w:val="000000"/>
          <w:sz w:val="28"/>
          <w:szCs w:val="28"/>
        </w:rPr>
        <w:br/>
        <w:t xml:space="preserve">1. </w:t>
      </w:r>
      <w:r w:rsidRPr="002B7F7D">
        <w:rPr>
          <w:rFonts w:ascii="Arial" w:eastAsia="Times New Roman" w:hAnsi="Arial" w:cs="Arial"/>
          <w:color w:val="000000"/>
          <w:sz w:val="28"/>
          <w:szCs w:val="28"/>
          <w:rtl/>
        </w:rPr>
        <w:t xml:space="preserve">مفهوم لغوى و اصلى، که در قرآن همین معنا مورد نظر بوده است، مانند: "إنّى جاعل فى الأرض </w:t>
      </w:r>
      <w:r w:rsidRPr="002B7F7D">
        <w:rPr>
          <w:rFonts w:ascii="Arial" w:eastAsia="Times New Roman" w:hAnsi="Arial" w:cs="Arial"/>
          <w:color w:val="000000"/>
          <w:sz w:val="28"/>
          <w:szCs w:val="28"/>
          <w:rtl/>
        </w:rPr>
        <w:lastRenderedPageBreak/>
        <w:t>خلیفة</w:t>
      </w:r>
      <w:r w:rsidRPr="002B7F7D">
        <w:rPr>
          <w:rFonts w:ascii="Arial" w:eastAsia="Times New Roman" w:hAnsi="Arial" w:cs="Arial"/>
          <w:color w:val="000000"/>
          <w:sz w:val="28"/>
          <w:szCs w:val="28"/>
        </w:rPr>
        <w:t>"</w:t>
      </w:r>
      <w:hyperlink r:id="rId13" w:tooltip="" w:history="1">
        <w:r w:rsidRPr="002B7F7D">
          <w:rPr>
            <w:rFonts w:ascii="Arial" w:eastAsia="Times New Roman" w:hAnsi="Arial" w:cs="Arial"/>
            <w:color w:val="0000FF"/>
            <w:sz w:val="28"/>
            <w:szCs w:val="28"/>
            <w:bdr w:val="none" w:sz="0" w:space="0" w:color="auto" w:frame="1"/>
          </w:rPr>
          <w:t>[4]</w:t>
        </w:r>
      </w:hyperlink>
      <w:r w:rsidRPr="002B7F7D">
        <w:rPr>
          <w:rFonts w:ascii="Arial" w:eastAsia="Times New Roman" w:hAnsi="Arial" w:cs="Arial"/>
          <w:color w:val="000000"/>
          <w:sz w:val="28"/>
          <w:szCs w:val="28"/>
        </w:rPr>
        <w:t>(</w:t>
      </w:r>
      <w:r w:rsidRPr="002B7F7D">
        <w:rPr>
          <w:rFonts w:ascii="Arial" w:eastAsia="Times New Roman" w:hAnsi="Arial" w:cs="Arial"/>
          <w:color w:val="000000"/>
          <w:sz w:val="28"/>
          <w:szCs w:val="28"/>
          <w:rtl/>
        </w:rPr>
        <w:t>من در زمین جانشینى قرار می‌دهم) یا آیه "یا داود إنّا جعلناک خلیفة فى الأرض فاحکم بین الناس بالحقّ</w:t>
      </w:r>
      <w:r w:rsidRPr="002B7F7D">
        <w:rPr>
          <w:rFonts w:ascii="Arial" w:eastAsia="Times New Roman" w:hAnsi="Arial" w:cs="Arial"/>
          <w:color w:val="000000"/>
          <w:sz w:val="28"/>
          <w:szCs w:val="28"/>
        </w:rPr>
        <w:t>"</w:t>
      </w:r>
      <w:hyperlink r:id="rId14" w:tooltip="" w:history="1">
        <w:r w:rsidRPr="002B7F7D">
          <w:rPr>
            <w:rFonts w:ascii="Arial" w:eastAsia="Times New Roman" w:hAnsi="Arial" w:cs="Arial"/>
            <w:color w:val="0000FF"/>
            <w:sz w:val="28"/>
            <w:szCs w:val="28"/>
            <w:bdr w:val="none" w:sz="0" w:space="0" w:color="auto" w:frame="1"/>
          </w:rPr>
          <w:t>[5]</w:t>
        </w:r>
      </w:hyperlink>
      <w:r w:rsidRPr="002B7F7D">
        <w:rPr>
          <w:rFonts w:ascii="Arial" w:eastAsia="Times New Roman" w:hAnsi="Arial" w:cs="Arial"/>
          <w:color w:val="000000"/>
          <w:sz w:val="28"/>
          <w:szCs w:val="28"/>
        </w:rPr>
        <w:t>(</w:t>
      </w:r>
      <w:r w:rsidRPr="002B7F7D">
        <w:rPr>
          <w:rFonts w:ascii="Arial" w:eastAsia="Times New Roman" w:hAnsi="Arial" w:cs="Arial"/>
          <w:color w:val="000000"/>
          <w:sz w:val="28"/>
          <w:szCs w:val="28"/>
          <w:rtl/>
        </w:rPr>
        <w:t>اى داود! ما تو را جانشین [خود] بر روى زمین قرار دادیم. پس میان مردم به حقّ حکم کن). در آیه اوّل خلافت یک امر تکوینى و غیر قابل وضع و تشریع است و در دومى هر چند یک امر تشریعى است، ولى فقط مربوط به مسئله داورى و قضاوت می‌باشد</w:t>
      </w:r>
      <w:r w:rsidRPr="002B7F7D">
        <w:rPr>
          <w:rFonts w:ascii="Arial" w:eastAsia="Times New Roman" w:hAnsi="Arial" w:cs="Arial"/>
          <w:color w:val="000000"/>
          <w:sz w:val="28"/>
          <w:szCs w:val="28"/>
        </w:rPr>
        <w:t>.</w:t>
      </w:r>
      <w:r w:rsidRPr="002B7F7D">
        <w:rPr>
          <w:rFonts w:ascii="Arial" w:eastAsia="Times New Roman" w:hAnsi="Arial" w:cs="Arial"/>
          <w:color w:val="000000"/>
          <w:sz w:val="28"/>
          <w:szCs w:val="28"/>
        </w:rPr>
        <w:br/>
        <w:t xml:space="preserve">2. </w:t>
      </w:r>
      <w:r w:rsidRPr="002B7F7D">
        <w:rPr>
          <w:rFonts w:ascii="Arial" w:eastAsia="Times New Roman" w:hAnsi="Arial" w:cs="Arial"/>
          <w:color w:val="000000"/>
          <w:sz w:val="28"/>
          <w:szCs w:val="28"/>
          <w:rtl/>
        </w:rPr>
        <w:t xml:space="preserve">مفهوم سیاسى و تاریخى، که در اسلام پس از رحلت رسول </w:t>
      </w:r>
      <w:proofErr w:type="gramStart"/>
      <w:r w:rsidRPr="002B7F7D">
        <w:rPr>
          <w:rFonts w:ascii="Arial" w:eastAsia="Times New Roman" w:hAnsi="Arial" w:cs="Arial"/>
          <w:color w:val="000000"/>
          <w:sz w:val="28"/>
          <w:szCs w:val="28"/>
          <w:rtl/>
        </w:rPr>
        <w:t>اکرم(</w:t>
      </w:r>
      <w:proofErr w:type="gramEnd"/>
      <w:r w:rsidRPr="002B7F7D">
        <w:rPr>
          <w:rFonts w:ascii="Arial" w:eastAsia="Times New Roman" w:hAnsi="Arial" w:cs="Arial"/>
          <w:color w:val="000000"/>
          <w:sz w:val="28"/>
          <w:szCs w:val="28"/>
          <w:rtl/>
        </w:rPr>
        <w:t>ص) ظهور کرد. این مفهوم یک مفهوم یا پدیده دنیایى و غیر الهى است که از سوى مردم به حقّ یا ناحقّ به شخصى ارزانى می‌شود و این به کلّى از مقام رفیع امامت یا رسالت که یک مقام و منصب الهى است، جدا می‌باشد</w:t>
      </w:r>
      <w:r w:rsidRPr="002B7F7D">
        <w:rPr>
          <w:rFonts w:ascii="Arial" w:eastAsia="Times New Roman" w:hAnsi="Arial" w:cs="Arial"/>
          <w:color w:val="000000"/>
          <w:sz w:val="28"/>
          <w:szCs w:val="28"/>
        </w:rPr>
        <w:t>».</w:t>
      </w:r>
      <w:r w:rsidRPr="002B7F7D">
        <w:rPr>
          <w:rFonts w:ascii="Arial" w:eastAsia="Times New Roman" w:hAnsi="Arial" w:cs="Arial"/>
          <w:color w:val="000000"/>
          <w:sz w:val="28"/>
          <w:szCs w:val="28"/>
        </w:rPr>
        <w:br/>
      </w:r>
      <w:r w:rsidRPr="002B7F7D">
        <w:rPr>
          <w:rFonts w:ascii="Arial" w:eastAsia="Times New Roman" w:hAnsi="Arial" w:cs="Arial"/>
          <w:color w:val="000000"/>
          <w:sz w:val="28"/>
          <w:szCs w:val="28"/>
          <w:rtl/>
        </w:rPr>
        <w:t>اگر در معناى لغوى «خلیفه» که همان «جانشین» است، دقّت شود، آشکار خواهد شد که در تمام کاربردهاى قرآنى، روایى، و حتّى تاریخى، همین مفهوم مورد نظر بوده است و اگر تفاوتى هست، تنها در موارد جانشینى می‌باشد. گاه این خلافت و جانشینى در امور تکوینى و مقامات عینى و واقعى است و زمانى در امور تشریعى و مناصب قانونى. حتّى در تاریخ اسلام، اگر اصطلاح «خلیفه» بعد از رحلت رسول اکرم(ص) پیدا شد، این مفهوم مورد نظر بود که شخص خلیفه، جانشین پیامبر در زمامدارى و اداره جامعه است. بنابر این، «خلیفه» مفاهیم و معانى مختلفى ندارد، بلکه در تمام کاربردها به یک معناست، هر چند موارد جانشینى داراى تفاوت است. در روایت مزبور نیز خلیفه به معناى جانشین آمده و چون در آن مورد خاصّى براى جانشینى ذکر نشده، اطلاق،</w:t>
      </w:r>
      <w:hyperlink r:id="rId15" w:tooltip="" w:history="1">
        <w:r w:rsidRPr="002B7F7D">
          <w:rPr>
            <w:rFonts w:ascii="Arial" w:eastAsia="Times New Roman" w:hAnsi="Arial" w:cs="Arial"/>
            <w:color w:val="0000FF"/>
            <w:sz w:val="28"/>
            <w:szCs w:val="28"/>
            <w:bdr w:val="none" w:sz="0" w:space="0" w:color="auto" w:frame="1"/>
          </w:rPr>
          <w:t>[6]</w:t>
        </w:r>
      </w:hyperlink>
      <w:r w:rsidRPr="002B7F7D">
        <w:rPr>
          <w:rFonts w:ascii="Arial" w:eastAsia="Times New Roman" w:hAnsi="Arial" w:cs="Arial"/>
          <w:color w:val="000000"/>
          <w:sz w:val="28"/>
          <w:szCs w:val="28"/>
          <w:rtl/>
        </w:rPr>
        <w:t>اقتضاى شمول می‌کند و از آن استفاده می‌شود که فقها در تمام شئون نبى اکرم(ص) جانشین آن‌حضرت هستند</w:t>
      </w:r>
      <w:r w:rsidRPr="002B7F7D">
        <w:rPr>
          <w:rFonts w:ascii="Arial" w:eastAsia="Times New Roman" w:hAnsi="Arial" w:cs="Arial"/>
          <w:color w:val="000000"/>
          <w:sz w:val="28"/>
          <w:szCs w:val="28"/>
        </w:rPr>
        <w:t>.</w:t>
      </w:r>
      <w:r w:rsidRPr="002B7F7D">
        <w:rPr>
          <w:rFonts w:ascii="Arial" w:eastAsia="Times New Roman" w:hAnsi="Arial" w:cs="Arial"/>
          <w:color w:val="000000"/>
          <w:sz w:val="28"/>
          <w:szCs w:val="28"/>
        </w:rPr>
        <w:br/>
        <w:t xml:space="preserve">2. </w:t>
      </w:r>
      <w:r w:rsidRPr="002B7F7D">
        <w:rPr>
          <w:rFonts w:ascii="Arial" w:eastAsia="Times New Roman" w:hAnsi="Arial" w:cs="Arial"/>
          <w:color w:val="000000"/>
          <w:sz w:val="28"/>
          <w:szCs w:val="28"/>
          <w:rtl/>
        </w:rPr>
        <w:t>توقیع</w:t>
      </w:r>
      <w:hyperlink r:id="rId16" w:tooltip="" w:history="1">
        <w:r w:rsidRPr="002B7F7D">
          <w:rPr>
            <w:rFonts w:ascii="Arial" w:eastAsia="Times New Roman" w:hAnsi="Arial" w:cs="Arial"/>
            <w:color w:val="0000FF"/>
            <w:sz w:val="28"/>
            <w:szCs w:val="28"/>
            <w:bdr w:val="none" w:sz="0" w:space="0" w:color="auto" w:frame="1"/>
          </w:rPr>
          <w:t>[7]</w:t>
        </w:r>
      </w:hyperlink>
      <w:r w:rsidRPr="002B7F7D">
        <w:rPr>
          <w:rFonts w:ascii="Arial" w:eastAsia="Times New Roman" w:hAnsi="Arial" w:cs="Arial"/>
          <w:color w:val="000000"/>
          <w:sz w:val="28"/>
          <w:szCs w:val="28"/>
        </w:rPr>
        <w:t> </w:t>
      </w:r>
      <w:r w:rsidRPr="002B7F7D">
        <w:rPr>
          <w:rFonts w:ascii="Arial" w:eastAsia="Times New Roman" w:hAnsi="Arial" w:cs="Arial"/>
          <w:color w:val="000000"/>
          <w:sz w:val="28"/>
          <w:szCs w:val="28"/>
          <w:rtl/>
        </w:rPr>
        <w:t>شریفى که مرحوم صدوق در کتاب «اکمال الدین» از اسحاق بن یعقوب نقل می‌کند که حضرت ولى عصر(عج) در پاسخ به پرسش‌هاى او به خط مبارکشان مرقوم فرمودند: «أمّا الحوادث الواقعة فارجعوا فیها إلى رواة حدیثنا، فإنّهم حجّتى علیکم و أنا حجّة الله علیهم»؛</w:t>
      </w:r>
      <w:hyperlink r:id="rId17" w:tooltip="" w:history="1">
        <w:r w:rsidRPr="002B7F7D">
          <w:rPr>
            <w:rFonts w:ascii="Arial" w:eastAsia="Times New Roman" w:hAnsi="Arial" w:cs="Arial"/>
            <w:color w:val="0000FF"/>
            <w:sz w:val="28"/>
            <w:szCs w:val="28"/>
            <w:bdr w:val="none" w:sz="0" w:space="0" w:color="auto" w:frame="1"/>
          </w:rPr>
          <w:t>[8]</w:t>
        </w:r>
      </w:hyperlink>
      <w:r w:rsidRPr="002B7F7D">
        <w:rPr>
          <w:rFonts w:ascii="Arial" w:eastAsia="Times New Roman" w:hAnsi="Arial" w:cs="Arial"/>
          <w:color w:val="000000"/>
          <w:sz w:val="28"/>
          <w:szCs w:val="28"/>
        </w:rPr>
        <w:t> </w:t>
      </w:r>
      <w:r w:rsidRPr="002B7F7D">
        <w:rPr>
          <w:rFonts w:ascii="Arial" w:eastAsia="Times New Roman" w:hAnsi="Arial" w:cs="Arial"/>
          <w:color w:val="000000"/>
          <w:sz w:val="28"/>
          <w:szCs w:val="28"/>
          <w:rtl/>
        </w:rPr>
        <w:t>در رویدادهایى که اتّفاق می‌افتد، به راویان حدیث ما مراجعه کنید؛ زیرا آنان حجّت من بر شمایند و من حجّت خدا بر آنان هستم</w:t>
      </w:r>
      <w:r w:rsidRPr="002B7F7D">
        <w:rPr>
          <w:rFonts w:ascii="Arial" w:eastAsia="Times New Roman" w:hAnsi="Arial" w:cs="Arial"/>
          <w:color w:val="000000"/>
          <w:sz w:val="28"/>
          <w:szCs w:val="28"/>
        </w:rPr>
        <w:t>.</w:t>
      </w:r>
      <w:r w:rsidRPr="002B7F7D">
        <w:rPr>
          <w:rFonts w:ascii="Arial" w:eastAsia="Times New Roman" w:hAnsi="Arial" w:cs="Arial"/>
          <w:color w:val="000000"/>
          <w:sz w:val="28"/>
          <w:szCs w:val="28"/>
        </w:rPr>
        <w:br/>
      </w:r>
      <w:r w:rsidRPr="002B7F7D">
        <w:rPr>
          <w:rFonts w:ascii="Arial" w:eastAsia="Times New Roman" w:hAnsi="Arial" w:cs="Arial"/>
          <w:color w:val="000000"/>
          <w:sz w:val="28"/>
          <w:szCs w:val="28"/>
          <w:rtl/>
        </w:rPr>
        <w:t>همین روایت را مرحوم شیخ طوسى در کتاب «الغیبة» نقل می‌کند، با این تفاوت که در انتهاى آن به‌جاى «أنا حجّة الله علیهم» آمده است: «أنا حجّة الله علیکم</w:t>
      </w:r>
      <w:r w:rsidRPr="002B7F7D">
        <w:rPr>
          <w:rFonts w:ascii="Arial" w:eastAsia="Times New Roman" w:hAnsi="Arial" w:cs="Arial"/>
          <w:color w:val="000000"/>
          <w:sz w:val="28"/>
          <w:szCs w:val="28"/>
        </w:rPr>
        <w:t>»</w:t>
      </w:r>
      <w:hyperlink r:id="rId18" w:tooltip="" w:history="1">
        <w:r w:rsidRPr="002B7F7D">
          <w:rPr>
            <w:rFonts w:ascii="Arial" w:eastAsia="Times New Roman" w:hAnsi="Arial" w:cs="Arial"/>
            <w:color w:val="0000FF"/>
            <w:sz w:val="28"/>
            <w:szCs w:val="28"/>
            <w:bdr w:val="none" w:sz="0" w:space="0" w:color="auto" w:frame="1"/>
          </w:rPr>
          <w:t>[9]</w:t>
        </w:r>
      </w:hyperlink>
      <w:r w:rsidRPr="002B7F7D">
        <w:rPr>
          <w:rFonts w:ascii="Arial" w:eastAsia="Times New Roman" w:hAnsi="Arial" w:cs="Arial"/>
          <w:color w:val="000000"/>
          <w:sz w:val="28"/>
          <w:szCs w:val="28"/>
        </w:rPr>
        <w:t> (</w:t>
      </w:r>
      <w:r w:rsidRPr="002B7F7D">
        <w:rPr>
          <w:rFonts w:ascii="Arial" w:eastAsia="Times New Roman" w:hAnsi="Arial" w:cs="Arial"/>
          <w:color w:val="000000"/>
          <w:sz w:val="28"/>
          <w:szCs w:val="28"/>
          <w:rtl/>
        </w:rPr>
        <w:t>من حجّت خدا بر شما هستم.) در نقل مرحوم طبرسى در کتاب «الاحتجاج» تنها «أنا حجّة الله»(من حجت خدا هستم) آمده است</w:t>
      </w:r>
      <w:r w:rsidRPr="002B7F7D">
        <w:rPr>
          <w:rFonts w:ascii="Arial" w:eastAsia="Times New Roman" w:hAnsi="Arial" w:cs="Arial"/>
          <w:color w:val="000000"/>
          <w:sz w:val="28"/>
          <w:szCs w:val="28"/>
        </w:rPr>
        <w:t>.</w:t>
      </w:r>
      <w:hyperlink r:id="rId19" w:tooltip="" w:history="1">
        <w:r w:rsidRPr="002B7F7D">
          <w:rPr>
            <w:rFonts w:ascii="Arial" w:eastAsia="Times New Roman" w:hAnsi="Arial" w:cs="Arial"/>
            <w:color w:val="0000FF"/>
            <w:sz w:val="28"/>
            <w:szCs w:val="28"/>
            <w:bdr w:val="none" w:sz="0" w:space="0" w:color="auto" w:frame="1"/>
          </w:rPr>
          <w:t>[10]</w:t>
        </w:r>
      </w:hyperlink>
      <w:r w:rsidRPr="002B7F7D">
        <w:rPr>
          <w:rFonts w:ascii="Arial" w:eastAsia="Times New Roman" w:hAnsi="Arial" w:cs="Arial"/>
          <w:color w:val="000000"/>
          <w:sz w:val="28"/>
          <w:szCs w:val="28"/>
        </w:rPr>
        <w:t> </w:t>
      </w:r>
      <w:r w:rsidRPr="002B7F7D">
        <w:rPr>
          <w:rFonts w:ascii="Arial" w:eastAsia="Times New Roman" w:hAnsi="Arial" w:cs="Arial"/>
          <w:color w:val="000000"/>
          <w:sz w:val="28"/>
          <w:szCs w:val="28"/>
          <w:rtl/>
        </w:rPr>
        <w:t>البته این تفاوت در نقل، هیچ تأثیرى در دلالت این روایت، به توضیحى که خواهد آمد، ندارد</w:t>
      </w:r>
      <w:r w:rsidRPr="002B7F7D">
        <w:rPr>
          <w:rFonts w:ascii="Arial" w:eastAsia="Times New Roman" w:hAnsi="Arial" w:cs="Arial"/>
          <w:color w:val="000000"/>
          <w:sz w:val="28"/>
          <w:szCs w:val="28"/>
        </w:rPr>
        <w:t>.</w:t>
      </w:r>
      <w:r w:rsidRPr="002B7F7D">
        <w:rPr>
          <w:rFonts w:ascii="Arial" w:eastAsia="Times New Roman" w:hAnsi="Arial" w:cs="Arial"/>
          <w:color w:val="000000"/>
          <w:sz w:val="28"/>
          <w:szCs w:val="28"/>
        </w:rPr>
        <w:br/>
      </w:r>
      <w:r w:rsidRPr="002B7F7D">
        <w:rPr>
          <w:rFonts w:ascii="Arial" w:eastAsia="Times New Roman" w:hAnsi="Arial" w:cs="Arial"/>
          <w:color w:val="000000"/>
          <w:sz w:val="28"/>
          <w:szCs w:val="28"/>
          <w:rtl/>
        </w:rPr>
        <w:t>از حیث سند، این روایت تا «اسحاق بن یعقوب» تقریباً قطعى است؛ زیرا آن‌را گروهى از راویان از گروه دیگرى از مرحوم کلینى از اسحاق بن یعقوب نقل کرده‌اند. نسبت به شخص «اسحاق بن یعقوب» توثیق</w:t>
      </w:r>
      <w:hyperlink r:id="rId20" w:tooltip="" w:history="1">
        <w:r w:rsidRPr="002B7F7D">
          <w:rPr>
            <w:rFonts w:ascii="Arial" w:eastAsia="Times New Roman" w:hAnsi="Arial" w:cs="Arial"/>
            <w:color w:val="0000FF"/>
            <w:sz w:val="28"/>
            <w:szCs w:val="28"/>
            <w:bdr w:val="none" w:sz="0" w:space="0" w:color="auto" w:frame="1"/>
          </w:rPr>
          <w:t>[11]</w:t>
        </w:r>
      </w:hyperlink>
      <w:r w:rsidRPr="002B7F7D">
        <w:rPr>
          <w:rFonts w:ascii="Arial" w:eastAsia="Times New Roman" w:hAnsi="Arial" w:cs="Arial"/>
          <w:color w:val="000000"/>
          <w:sz w:val="28"/>
          <w:szCs w:val="28"/>
        </w:rPr>
        <w:t> </w:t>
      </w:r>
      <w:r w:rsidRPr="002B7F7D">
        <w:rPr>
          <w:rFonts w:ascii="Arial" w:eastAsia="Times New Roman" w:hAnsi="Arial" w:cs="Arial"/>
          <w:color w:val="000000"/>
          <w:sz w:val="28"/>
          <w:szCs w:val="28"/>
          <w:rtl/>
        </w:rPr>
        <w:t>خاصّى در کتاب‌هاى رجال وارد نشده است و برخى کوشیده‌اند او را برادر مرحوم کلینى معرفى کنند</w:t>
      </w:r>
      <w:r w:rsidRPr="002B7F7D">
        <w:rPr>
          <w:rFonts w:ascii="Arial" w:eastAsia="Times New Roman" w:hAnsi="Arial" w:cs="Arial"/>
          <w:color w:val="000000"/>
          <w:sz w:val="28"/>
          <w:szCs w:val="28"/>
        </w:rPr>
        <w:t>.</w:t>
      </w:r>
      <w:hyperlink r:id="rId21" w:tooltip="" w:history="1">
        <w:r w:rsidRPr="002B7F7D">
          <w:rPr>
            <w:rFonts w:ascii="Arial" w:eastAsia="Times New Roman" w:hAnsi="Arial" w:cs="Arial"/>
            <w:color w:val="0000FF"/>
            <w:sz w:val="28"/>
            <w:szCs w:val="28"/>
            <w:bdr w:val="none" w:sz="0" w:space="0" w:color="auto" w:frame="1"/>
          </w:rPr>
          <w:t>[12]</w:t>
        </w:r>
      </w:hyperlink>
      <w:r w:rsidRPr="002B7F7D">
        <w:rPr>
          <w:rFonts w:ascii="Arial" w:eastAsia="Times New Roman" w:hAnsi="Arial" w:cs="Arial"/>
          <w:color w:val="000000"/>
          <w:sz w:val="28"/>
          <w:szCs w:val="28"/>
        </w:rPr>
        <w:t> </w:t>
      </w:r>
      <w:r w:rsidRPr="002B7F7D">
        <w:rPr>
          <w:rFonts w:ascii="Arial" w:eastAsia="Times New Roman" w:hAnsi="Arial" w:cs="Arial"/>
          <w:color w:val="000000"/>
          <w:sz w:val="28"/>
          <w:szCs w:val="28"/>
          <w:rtl/>
        </w:rPr>
        <w:t>ولى این تلاشِ نه‌چندان کامیاب، مفید نیست. راه صحیح آن است که بگوییم با توجّه به وضعیت امام زمان(عج) در دوران غیبت صغرا و فشار و خفقان موجود در آن روزگار - که باعث شده بود آن‌حضرت ‏از انظار عموم پنهان شود و تنها از طریق نوّاب خاصّ با مردم ارتباط برقرار کند - صدور توقیعات، که یک سند رسمى بر حیات امام(ع) و زمام‌دارى او بود، جز نسبت به افراد بسیار قابل اعتماد صورت نمی‌گرفت. پس خود ارسال نامه از سوى آن‌حضرت براى شخصى در آن دوران، دلیل وثاقت آن شخص است</w:t>
      </w:r>
      <w:r w:rsidRPr="002B7F7D">
        <w:rPr>
          <w:rFonts w:ascii="Arial" w:eastAsia="Times New Roman" w:hAnsi="Arial" w:cs="Arial"/>
          <w:color w:val="000000"/>
          <w:sz w:val="28"/>
          <w:szCs w:val="28"/>
        </w:rPr>
        <w:t>.</w:t>
      </w:r>
      <w:hyperlink r:id="rId22" w:tooltip="" w:history="1">
        <w:r w:rsidRPr="002B7F7D">
          <w:rPr>
            <w:rFonts w:ascii="Arial" w:eastAsia="Times New Roman" w:hAnsi="Arial" w:cs="Arial"/>
            <w:color w:val="0000FF"/>
            <w:sz w:val="28"/>
            <w:szCs w:val="28"/>
            <w:bdr w:val="none" w:sz="0" w:space="0" w:color="auto" w:frame="1"/>
          </w:rPr>
          <w:t>[13</w:t>
        </w:r>
        <w:proofErr w:type="gramStart"/>
        <w:r w:rsidRPr="002B7F7D">
          <w:rPr>
            <w:rFonts w:ascii="Arial" w:eastAsia="Times New Roman" w:hAnsi="Arial" w:cs="Arial"/>
            <w:color w:val="0000FF"/>
            <w:sz w:val="28"/>
            <w:szCs w:val="28"/>
            <w:bdr w:val="none" w:sz="0" w:space="0" w:color="auto" w:frame="1"/>
          </w:rPr>
          <w:t>]</w:t>
        </w:r>
        <w:proofErr w:type="gramEnd"/>
      </w:hyperlink>
      <w:r w:rsidRPr="002B7F7D">
        <w:rPr>
          <w:rFonts w:ascii="Arial" w:eastAsia="Times New Roman" w:hAnsi="Arial" w:cs="Arial"/>
          <w:color w:val="000000"/>
          <w:sz w:val="28"/>
          <w:szCs w:val="28"/>
        </w:rPr>
        <w:br/>
      </w:r>
      <w:r w:rsidRPr="002B7F7D">
        <w:rPr>
          <w:rFonts w:ascii="Arial" w:eastAsia="Times New Roman" w:hAnsi="Arial" w:cs="Arial"/>
          <w:color w:val="000000"/>
          <w:sz w:val="28"/>
          <w:szCs w:val="28"/>
          <w:rtl/>
        </w:rPr>
        <w:t>اگر پرسیده شود: از کجا معلوم که اسحاق بن یعقوب توقیعى دریافت کرده است، شاید او در این ادعا دروغ گفته باشد؟</w:t>
      </w:r>
      <w:r w:rsidRPr="002B7F7D">
        <w:rPr>
          <w:rFonts w:ascii="Arial" w:eastAsia="Times New Roman" w:hAnsi="Arial" w:cs="Arial"/>
          <w:color w:val="000000"/>
          <w:sz w:val="28"/>
          <w:szCs w:val="28"/>
        </w:rPr>
        <w:br/>
      </w:r>
      <w:r w:rsidRPr="002B7F7D">
        <w:rPr>
          <w:rFonts w:ascii="Arial" w:eastAsia="Times New Roman" w:hAnsi="Arial" w:cs="Arial"/>
          <w:color w:val="000000"/>
          <w:sz w:val="28"/>
          <w:szCs w:val="28"/>
          <w:rtl/>
        </w:rPr>
        <w:t>در پاسخ خواهیم گفت: کلینى که این توقیع را از او نقل می‌کند - با توجّه به آنچه گذشت - حتماً او را مورد اعتماد می‌دانسته و الاّ هرگز اقدام به این عمل نمی‌کرده است. با این وصف، جاى تردیدى در سند این روایت باقى نمی‌ماند</w:t>
      </w:r>
      <w:r w:rsidRPr="002B7F7D">
        <w:rPr>
          <w:rFonts w:ascii="Arial" w:eastAsia="Times New Roman" w:hAnsi="Arial" w:cs="Arial"/>
          <w:color w:val="000000"/>
          <w:sz w:val="28"/>
          <w:szCs w:val="28"/>
        </w:rPr>
        <w:t>.</w:t>
      </w:r>
      <w:hyperlink r:id="rId23" w:tooltip="" w:history="1">
        <w:r w:rsidRPr="002B7F7D">
          <w:rPr>
            <w:rFonts w:ascii="Arial" w:eastAsia="Times New Roman" w:hAnsi="Arial" w:cs="Arial"/>
            <w:color w:val="0000FF"/>
            <w:sz w:val="28"/>
            <w:szCs w:val="28"/>
            <w:bdr w:val="none" w:sz="0" w:space="0" w:color="auto" w:frame="1"/>
          </w:rPr>
          <w:t>[14</w:t>
        </w:r>
        <w:proofErr w:type="gramStart"/>
        <w:r w:rsidRPr="002B7F7D">
          <w:rPr>
            <w:rFonts w:ascii="Arial" w:eastAsia="Times New Roman" w:hAnsi="Arial" w:cs="Arial"/>
            <w:color w:val="0000FF"/>
            <w:sz w:val="28"/>
            <w:szCs w:val="28"/>
            <w:bdr w:val="none" w:sz="0" w:space="0" w:color="auto" w:frame="1"/>
          </w:rPr>
          <w:t>]</w:t>
        </w:r>
        <w:proofErr w:type="gramEnd"/>
      </w:hyperlink>
      <w:r w:rsidRPr="002B7F7D">
        <w:rPr>
          <w:rFonts w:ascii="Arial" w:eastAsia="Times New Roman" w:hAnsi="Arial" w:cs="Arial"/>
          <w:color w:val="000000"/>
          <w:sz w:val="28"/>
          <w:szCs w:val="28"/>
        </w:rPr>
        <w:br/>
      </w:r>
      <w:r w:rsidRPr="002B7F7D">
        <w:rPr>
          <w:rFonts w:ascii="Arial" w:eastAsia="Times New Roman" w:hAnsi="Arial" w:cs="Arial"/>
          <w:color w:val="000000"/>
          <w:sz w:val="28"/>
          <w:szCs w:val="28"/>
          <w:rtl/>
        </w:rPr>
        <w:t>بهترین شیوه استدلال به این روایت - که در سخنان برخى از فقهاى پیشین نیز شاهد آن بودیم - این است</w:t>
      </w:r>
      <w:r w:rsidRPr="002B7F7D">
        <w:rPr>
          <w:rFonts w:ascii="Arial" w:eastAsia="Times New Roman" w:hAnsi="Arial" w:cs="Arial"/>
          <w:color w:val="000000"/>
          <w:sz w:val="28"/>
          <w:szCs w:val="28"/>
        </w:rPr>
        <w:t>:</w:t>
      </w:r>
      <w:r w:rsidRPr="002B7F7D">
        <w:rPr>
          <w:rFonts w:ascii="Arial" w:eastAsia="Times New Roman" w:hAnsi="Arial" w:cs="Arial"/>
          <w:color w:val="000000"/>
          <w:sz w:val="28"/>
          <w:szCs w:val="28"/>
        </w:rPr>
        <w:br/>
      </w:r>
      <w:r w:rsidRPr="002B7F7D">
        <w:rPr>
          <w:rFonts w:ascii="Arial" w:eastAsia="Times New Roman" w:hAnsi="Arial" w:cs="Arial"/>
          <w:color w:val="000000"/>
          <w:sz w:val="28"/>
          <w:szCs w:val="28"/>
          <w:rtl/>
        </w:rPr>
        <w:t xml:space="preserve">حضرت‏ امام زمان(عج) دو جمله: «فإنّهم حجّتى علیکم» و «أنا حجّة الله» را به گونه‌اى آورده که </w:t>
      </w:r>
      <w:r w:rsidRPr="002B7F7D">
        <w:rPr>
          <w:rFonts w:ascii="Arial" w:eastAsia="Times New Roman" w:hAnsi="Arial" w:cs="Arial"/>
          <w:color w:val="000000"/>
          <w:sz w:val="28"/>
          <w:szCs w:val="28"/>
          <w:rtl/>
        </w:rPr>
        <w:lastRenderedPageBreak/>
        <w:t>بوضوح می‌رساند حجّیت راویان حدیث آنان - که همان فقیهان هستند و در روایت قبلى علت تطبیق را توضیح دادیم - بسان حجّیت خود آنهاست؛ یعنى فقها نایب امام زمان(عج) در میان مردم می‌باشند. حال اگر زمان صدور این توقیع - یعنى غیبت صغرا - را در نظر بگیریم و توجّه کنیم که آن‌حضرت‏(ع) در این دوران شیعیان را براى غیبت کبرا آماده می‌کردند و در واقع آخرین وصایا و آخرین احکام را صادر می‌نمودند، به وضوح در خواهیم یافت که این روایت به زمان غیبت نظر دارد و همان‌گونه که بسیارى از فقهاى گذشته اشاره کرده‌اند، فقیهان شیعه را به عنوان جانشینان امام در تمام امور، از جمله زمام‌دارى جامعه اسلامى معرّفى می‌کند</w:t>
      </w:r>
      <w:r w:rsidRPr="002B7F7D">
        <w:rPr>
          <w:rFonts w:ascii="Arial" w:eastAsia="Times New Roman" w:hAnsi="Arial" w:cs="Arial"/>
          <w:color w:val="000000"/>
          <w:sz w:val="28"/>
          <w:szCs w:val="28"/>
        </w:rPr>
        <w:t>.</w:t>
      </w:r>
      <w:r w:rsidRPr="002B7F7D">
        <w:rPr>
          <w:rFonts w:ascii="Arial" w:eastAsia="Times New Roman" w:hAnsi="Arial" w:cs="Arial"/>
          <w:color w:val="000000"/>
          <w:sz w:val="28"/>
          <w:szCs w:val="28"/>
        </w:rPr>
        <w:br/>
      </w:r>
      <w:r w:rsidRPr="002B7F7D">
        <w:rPr>
          <w:rFonts w:ascii="Arial" w:eastAsia="Times New Roman" w:hAnsi="Arial" w:cs="Arial"/>
          <w:color w:val="000000"/>
          <w:sz w:val="28"/>
          <w:szCs w:val="28"/>
          <w:rtl/>
        </w:rPr>
        <w:t>برخى در استدلال به این حدیث نیز مناقشه و تمسّک به آن‌را - که در بسیارى از نصوص فقهى شاهد آن بودیم و آنان از آن بی‌خبرند و تنها از عوائد نراقى خبر دارند - نتیجه عدم بررسى معناى حجّت و فقدان اجتهاد در لغت‌شناسى دانسته‌اند! سپس با جستجوى کاربردهاى واژه «حجّت» در منطق، فلسفه و اصول فقه در کلاف سردرگمى گرفتار شده‌اند که هرگز راه خلاصى از آن تصوّر نمی‌شود</w:t>
      </w:r>
      <w:r w:rsidRPr="002B7F7D">
        <w:rPr>
          <w:rFonts w:ascii="Arial" w:eastAsia="Times New Roman" w:hAnsi="Arial" w:cs="Arial"/>
          <w:color w:val="000000"/>
          <w:sz w:val="28"/>
          <w:szCs w:val="28"/>
        </w:rPr>
        <w:t>!</w:t>
      </w:r>
      <w:hyperlink r:id="rId24" w:tooltip="" w:history="1">
        <w:r w:rsidRPr="002B7F7D">
          <w:rPr>
            <w:rFonts w:ascii="Arial" w:eastAsia="Times New Roman" w:hAnsi="Arial" w:cs="Arial"/>
            <w:color w:val="0000FF"/>
            <w:sz w:val="28"/>
            <w:szCs w:val="28"/>
            <w:bdr w:val="none" w:sz="0" w:space="0" w:color="auto" w:frame="1"/>
          </w:rPr>
          <w:t>[15</w:t>
        </w:r>
        <w:proofErr w:type="gramStart"/>
        <w:r w:rsidRPr="002B7F7D">
          <w:rPr>
            <w:rFonts w:ascii="Arial" w:eastAsia="Times New Roman" w:hAnsi="Arial" w:cs="Arial"/>
            <w:color w:val="0000FF"/>
            <w:sz w:val="28"/>
            <w:szCs w:val="28"/>
            <w:bdr w:val="none" w:sz="0" w:space="0" w:color="auto" w:frame="1"/>
          </w:rPr>
          <w:t>]</w:t>
        </w:r>
        <w:proofErr w:type="gramEnd"/>
      </w:hyperlink>
      <w:r w:rsidRPr="002B7F7D">
        <w:rPr>
          <w:rFonts w:ascii="Arial" w:eastAsia="Times New Roman" w:hAnsi="Arial" w:cs="Arial"/>
          <w:color w:val="000000"/>
          <w:sz w:val="28"/>
          <w:szCs w:val="28"/>
        </w:rPr>
        <w:br/>
      </w:r>
      <w:r w:rsidRPr="002B7F7D">
        <w:rPr>
          <w:rFonts w:ascii="Arial" w:eastAsia="Times New Roman" w:hAnsi="Arial" w:cs="Arial"/>
          <w:color w:val="000000"/>
          <w:sz w:val="28"/>
          <w:szCs w:val="28"/>
          <w:rtl/>
        </w:rPr>
        <w:t>مقصود از «حجّت» در این روایت، مانند سایر موارد، چیزى است که می‌توان به آن احتجاج</w:t>
      </w:r>
      <w:hyperlink r:id="rId25" w:tooltip="" w:history="1">
        <w:r w:rsidRPr="002B7F7D">
          <w:rPr>
            <w:rFonts w:ascii="Arial" w:eastAsia="Times New Roman" w:hAnsi="Arial" w:cs="Arial"/>
            <w:color w:val="0000FF"/>
            <w:sz w:val="28"/>
            <w:szCs w:val="28"/>
            <w:bdr w:val="none" w:sz="0" w:space="0" w:color="auto" w:frame="1"/>
          </w:rPr>
          <w:t>[16]</w:t>
        </w:r>
      </w:hyperlink>
      <w:r w:rsidRPr="002B7F7D">
        <w:rPr>
          <w:rFonts w:ascii="Arial" w:eastAsia="Times New Roman" w:hAnsi="Arial" w:cs="Arial"/>
          <w:color w:val="000000"/>
          <w:sz w:val="28"/>
          <w:szCs w:val="28"/>
        </w:rPr>
        <w:t> </w:t>
      </w:r>
      <w:r w:rsidRPr="002B7F7D">
        <w:rPr>
          <w:rFonts w:ascii="Arial" w:eastAsia="Times New Roman" w:hAnsi="Arial" w:cs="Arial"/>
          <w:color w:val="000000"/>
          <w:sz w:val="28"/>
          <w:szCs w:val="28"/>
          <w:rtl/>
        </w:rPr>
        <w:t>کرد. پس امام‏(ع) حجّت خداست؛ زیرا اگر او چیزى بگوید و مردم عمل نکنند، خدا به همان گفته او علیه مخالفت کنندگان احتجاج می‌کند و آنها نمی‌توانند عذرى در این مخالفت بیابند. هم‌چنان که اگر به گفته او عمل کنند، در مقابل این سؤال که چرا چنین کردید؟ همین جواب کافى است که به دلیل گفته او. با این وصف، اگر فقیه حجّت امام است؛ یعنى اگر امرى کند - چه از باب فتوا و استنباط حکم، چه از باب ولایت و انشاى حکم - و مردم مخالفت کنند، حضرت(ع) بر علیه مخالفان به همین امر فقیه احتجاج می‌کند. همان‌گونه که مطعیان به این امر براى توجیه عمل خود استدلال می‌نمایند. به هر تقدیر، همان‌گونه که بارها در سخن فقیهان پیشین دیدیم، دلالت روایت بر «ولایت فقیه» و نیابت او از امام معصوم(ع) جاى تردید نیست</w:t>
      </w:r>
      <w:r w:rsidRPr="002B7F7D">
        <w:rPr>
          <w:rFonts w:ascii="Arial" w:eastAsia="Times New Roman" w:hAnsi="Arial" w:cs="Arial"/>
          <w:color w:val="000000"/>
          <w:sz w:val="28"/>
          <w:szCs w:val="28"/>
        </w:rPr>
        <w:t>.</w:t>
      </w:r>
      <w:r w:rsidRPr="002B7F7D">
        <w:rPr>
          <w:rFonts w:ascii="Arial" w:eastAsia="Times New Roman" w:hAnsi="Arial" w:cs="Arial"/>
          <w:color w:val="000000"/>
          <w:sz w:val="28"/>
          <w:szCs w:val="28"/>
        </w:rPr>
        <w:br/>
      </w:r>
      <w:r w:rsidRPr="002B7F7D">
        <w:rPr>
          <w:rFonts w:ascii="Arial" w:eastAsia="Times New Roman" w:hAnsi="Arial" w:cs="Arial"/>
          <w:color w:val="000000"/>
          <w:sz w:val="28"/>
          <w:szCs w:val="28"/>
          <w:rtl/>
        </w:rPr>
        <w:t>منابع برای مطالعه بیشتر</w:t>
      </w:r>
      <w:r w:rsidRPr="002B7F7D">
        <w:rPr>
          <w:rFonts w:ascii="Arial" w:eastAsia="Times New Roman" w:hAnsi="Arial" w:cs="Arial"/>
          <w:color w:val="000000"/>
          <w:sz w:val="28"/>
          <w:szCs w:val="28"/>
        </w:rPr>
        <w:t>:</w:t>
      </w:r>
      <w:r w:rsidRPr="002B7F7D">
        <w:rPr>
          <w:rFonts w:ascii="Arial" w:eastAsia="Times New Roman" w:hAnsi="Arial" w:cs="Arial"/>
          <w:color w:val="000000"/>
          <w:sz w:val="28"/>
          <w:szCs w:val="28"/>
        </w:rPr>
        <w:br/>
        <w:t xml:space="preserve">1. </w:t>
      </w:r>
      <w:r w:rsidRPr="002B7F7D">
        <w:rPr>
          <w:rFonts w:ascii="Arial" w:eastAsia="Times New Roman" w:hAnsi="Arial" w:cs="Arial"/>
          <w:color w:val="000000"/>
          <w:sz w:val="28"/>
          <w:szCs w:val="28"/>
          <w:rtl/>
        </w:rPr>
        <w:t>هادوى تهرانى، مهدى، ولایت و دیانت، قم، مؤسسه فرهنگى خانه خرد، چاپ دوم، 1380ش</w:t>
      </w:r>
      <w:r w:rsidRPr="002B7F7D">
        <w:rPr>
          <w:rFonts w:ascii="Arial" w:eastAsia="Times New Roman" w:hAnsi="Arial" w:cs="Arial"/>
          <w:color w:val="000000"/>
          <w:sz w:val="28"/>
          <w:szCs w:val="28"/>
        </w:rPr>
        <w:t>.</w:t>
      </w:r>
      <w:r w:rsidRPr="002B7F7D">
        <w:rPr>
          <w:rFonts w:ascii="Arial" w:eastAsia="Times New Roman" w:hAnsi="Arial" w:cs="Arial"/>
          <w:color w:val="000000"/>
          <w:sz w:val="28"/>
          <w:szCs w:val="28"/>
        </w:rPr>
        <w:br/>
        <w:t xml:space="preserve">2. </w:t>
      </w:r>
      <w:r w:rsidRPr="002B7F7D">
        <w:rPr>
          <w:rFonts w:ascii="Arial" w:eastAsia="Times New Roman" w:hAnsi="Arial" w:cs="Arial"/>
          <w:color w:val="000000"/>
          <w:sz w:val="28"/>
          <w:szCs w:val="28"/>
          <w:rtl/>
        </w:rPr>
        <w:t>هادوى تهرانى، مهدى، الحکم الاسلامى فى عصر الغیبة</w:t>
      </w:r>
      <w:r w:rsidRPr="002B7F7D">
        <w:rPr>
          <w:rFonts w:ascii="Arial" w:eastAsia="Times New Roman" w:hAnsi="Arial" w:cs="Arial"/>
          <w:color w:val="000000"/>
          <w:sz w:val="28"/>
          <w:szCs w:val="28"/>
        </w:rPr>
        <w:t>.</w:t>
      </w:r>
    </w:p>
    <w:p w:rsidR="002B7F7D" w:rsidRPr="002B7F7D" w:rsidRDefault="002B7F7D" w:rsidP="002B7F7D">
      <w:pPr>
        <w:spacing w:after="0" w:line="240" w:lineRule="auto"/>
        <w:rPr>
          <w:rFonts w:ascii="Arial" w:eastAsia="Times New Roman" w:hAnsi="Arial" w:cs="Arial"/>
          <w:color w:val="000000"/>
          <w:sz w:val="28"/>
          <w:szCs w:val="28"/>
        </w:rPr>
      </w:pPr>
      <w:r w:rsidRPr="002B7F7D">
        <w:rPr>
          <w:rFonts w:ascii="Arial" w:eastAsia="Times New Roman" w:hAnsi="Arial" w:cs="Arial"/>
          <w:color w:val="000000"/>
          <w:sz w:val="28"/>
          <w:szCs w:val="28"/>
        </w:rPr>
        <w:t> </w:t>
      </w:r>
    </w:p>
    <w:p w:rsidR="002B7F7D" w:rsidRPr="002B7F7D" w:rsidRDefault="002B7F7D" w:rsidP="002B7F7D">
      <w:pPr>
        <w:shd w:val="clear" w:color="auto" w:fill="FFFFFF"/>
        <w:spacing w:after="0" w:line="240" w:lineRule="auto"/>
        <w:rPr>
          <w:rFonts w:ascii="Arial" w:eastAsia="Times New Roman" w:hAnsi="Arial" w:cs="Arial"/>
          <w:color w:val="000000"/>
          <w:sz w:val="28"/>
          <w:szCs w:val="28"/>
        </w:rPr>
      </w:pPr>
      <w:r w:rsidRPr="002B7F7D">
        <w:rPr>
          <w:rFonts w:ascii="Arial" w:eastAsia="Times New Roman" w:hAnsi="Arial" w:cs="Arial"/>
          <w:color w:val="000000"/>
          <w:sz w:val="28"/>
          <w:szCs w:val="28"/>
        </w:rPr>
        <w:pict>
          <v:rect id="_x0000_i1025" style="width:148.95pt;height:.75pt" o:hrpct="330" o:hralign="right" o:hrstd="t" o:hr="t" fillcolor="#a0a0a0" stroked="f"/>
        </w:pict>
      </w:r>
    </w:p>
    <w:p w:rsidR="002B7F7D" w:rsidRPr="002B7F7D" w:rsidRDefault="002B7F7D" w:rsidP="002B7F7D">
      <w:pPr>
        <w:spacing w:after="0" w:line="240" w:lineRule="auto"/>
        <w:rPr>
          <w:rFonts w:ascii="Arial" w:eastAsia="Times New Roman" w:hAnsi="Arial" w:cs="Arial"/>
          <w:color w:val="000000"/>
          <w:sz w:val="28"/>
          <w:szCs w:val="28"/>
        </w:rPr>
      </w:pPr>
      <w:hyperlink r:id="rId26" w:tooltip="" w:history="1">
        <w:r w:rsidRPr="002B7F7D">
          <w:rPr>
            <w:rFonts w:ascii="Arial" w:eastAsia="Times New Roman" w:hAnsi="Arial" w:cs="Arial"/>
            <w:color w:val="0000FF"/>
            <w:sz w:val="28"/>
            <w:szCs w:val="28"/>
            <w:bdr w:val="none" w:sz="0" w:space="0" w:color="auto" w:frame="1"/>
          </w:rPr>
          <w:t>[1]</w:t>
        </w:r>
      </w:hyperlink>
      <w:r w:rsidRPr="002B7F7D">
        <w:rPr>
          <w:rFonts w:ascii="Arial" w:eastAsia="Times New Roman" w:hAnsi="Arial" w:cs="Arial"/>
          <w:color w:val="000000"/>
          <w:sz w:val="28"/>
          <w:szCs w:val="28"/>
        </w:rPr>
        <w:t xml:space="preserve">. </w:t>
      </w:r>
      <w:r w:rsidRPr="002B7F7D">
        <w:rPr>
          <w:rFonts w:ascii="Arial" w:eastAsia="Times New Roman" w:hAnsi="Arial" w:cs="Arial"/>
          <w:color w:val="000000"/>
          <w:sz w:val="28"/>
          <w:szCs w:val="28"/>
          <w:rtl/>
        </w:rPr>
        <w:t>ر.ک: شیخ صدوق، من لا یحضره الفقیه، ج 4، ص 420، «باب النوادر»، حدیث 5919؛ شیخ صدوق، کتاب الأمالى، ص 109، مجلس 34، حدیث 4؛ شیخ صدوق، عیون اخبار الرضا(ع)، ج 2، ص 37، حدیث 94؛ شیخ صدوق، معانى الأخبار، ج 2، ص 374، باب 423؛ حرّ عاملى، وسائل الشیعه، ج 18، ص 65 – 66، «کتاب القضاء، أبواب صفات القاضى»، باب 8، احادیث 50 و 53؛ محدّث نورى، مستدرک الوسائل، «کتاب القضاء، أبواب صفات القاضى»، باب 8، احادیث 52، 48، 11، 10؛ مجلسى، بحارالأنوار، ج 20، ص 25، «کتاب العلم»، باب 8، حدیث 83؛ هندى، کنز العمال، ج 10، ص 229، «کتاب العلم من قسم الاقوال»، باب 3، حدیث 29209</w:t>
      </w:r>
      <w:r w:rsidRPr="002B7F7D">
        <w:rPr>
          <w:rFonts w:ascii="Arial" w:eastAsia="Times New Roman" w:hAnsi="Arial" w:cs="Arial"/>
          <w:color w:val="000000"/>
          <w:sz w:val="28"/>
          <w:szCs w:val="28"/>
        </w:rPr>
        <w:t>.</w:t>
      </w:r>
    </w:p>
    <w:p w:rsidR="002B7F7D" w:rsidRPr="002B7F7D" w:rsidRDefault="002B7F7D" w:rsidP="002B7F7D">
      <w:pPr>
        <w:spacing w:after="0" w:line="240" w:lineRule="auto"/>
        <w:rPr>
          <w:rFonts w:ascii="Arial" w:eastAsia="Times New Roman" w:hAnsi="Arial" w:cs="Arial"/>
          <w:color w:val="000000"/>
          <w:sz w:val="28"/>
          <w:szCs w:val="28"/>
        </w:rPr>
      </w:pPr>
      <w:hyperlink r:id="rId27" w:tooltip="" w:history="1">
        <w:r w:rsidRPr="002B7F7D">
          <w:rPr>
            <w:rFonts w:ascii="Arial" w:eastAsia="Times New Roman" w:hAnsi="Arial" w:cs="Arial"/>
            <w:color w:val="0000FF"/>
            <w:sz w:val="28"/>
            <w:szCs w:val="28"/>
            <w:bdr w:val="none" w:sz="0" w:space="0" w:color="auto" w:frame="1"/>
          </w:rPr>
          <w:t>[2]</w:t>
        </w:r>
      </w:hyperlink>
      <w:r w:rsidRPr="002B7F7D">
        <w:rPr>
          <w:rFonts w:ascii="Arial" w:eastAsia="Times New Roman" w:hAnsi="Arial" w:cs="Arial"/>
          <w:color w:val="000000"/>
          <w:sz w:val="28"/>
          <w:szCs w:val="28"/>
        </w:rPr>
        <w:t xml:space="preserve">. </w:t>
      </w:r>
      <w:r w:rsidRPr="002B7F7D">
        <w:rPr>
          <w:rFonts w:ascii="Arial" w:eastAsia="Times New Roman" w:hAnsi="Arial" w:cs="Arial"/>
          <w:color w:val="000000"/>
          <w:sz w:val="28"/>
          <w:szCs w:val="28"/>
          <w:rtl/>
        </w:rPr>
        <w:t>در اصطلاح به این مطلب «اطلاق ناشى از حذف متعلّق» می‌گویند. ر.ک: امام خمینى، کتاب البیع، ج 2، ص 468؛ سیّد کاظم حائرى، أساس الحکومة الاسلامیة، ص 150؛ منتظرى، ولایة الفقیه، ج 1، ص 463</w:t>
      </w:r>
      <w:r w:rsidRPr="002B7F7D">
        <w:rPr>
          <w:rFonts w:ascii="Arial" w:eastAsia="Times New Roman" w:hAnsi="Arial" w:cs="Arial"/>
          <w:color w:val="000000"/>
          <w:sz w:val="28"/>
          <w:szCs w:val="28"/>
        </w:rPr>
        <w:t>.</w:t>
      </w:r>
    </w:p>
    <w:p w:rsidR="002B7F7D" w:rsidRPr="002B7F7D" w:rsidRDefault="002B7F7D" w:rsidP="002B7F7D">
      <w:pPr>
        <w:spacing w:after="0" w:line="240" w:lineRule="auto"/>
        <w:rPr>
          <w:rFonts w:ascii="Arial" w:eastAsia="Times New Roman" w:hAnsi="Arial" w:cs="Arial"/>
          <w:color w:val="000000"/>
          <w:sz w:val="28"/>
          <w:szCs w:val="28"/>
        </w:rPr>
      </w:pPr>
      <w:hyperlink r:id="rId28" w:tooltip="" w:history="1">
        <w:r w:rsidRPr="002B7F7D">
          <w:rPr>
            <w:rFonts w:ascii="Arial" w:eastAsia="Times New Roman" w:hAnsi="Arial" w:cs="Arial"/>
            <w:color w:val="0000FF"/>
            <w:sz w:val="28"/>
            <w:szCs w:val="28"/>
            <w:bdr w:val="none" w:sz="0" w:space="0" w:color="auto" w:frame="1"/>
          </w:rPr>
          <w:t>[3]</w:t>
        </w:r>
      </w:hyperlink>
      <w:r w:rsidRPr="002B7F7D">
        <w:rPr>
          <w:rFonts w:ascii="Arial" w:eastAsia="Times New Roman" w:hAnsi="Arial" w:cs="Arial"/>
          <w:color w:val="000000"/>
          <w:sz w:val="28"/>
          <w:szCs w:val="28"/>
        </w:rPr>
        <w:t xml:space="preserve">. </w:t>
      </w:r>
      <w:r w:rsidRPr="002B7F7D">
        <w:rPr>
          <w:rFonts w:ascii="Arial" w:eastAsia="Times New Roman" w:hAnsi="Arial" w:cs="Arial"/>
          <w:color w:val="000000"/>
          <w:sz w:val="28"/>
          <w:szCs w:val="28"/>
          <w:rtl/>
        </w:rPr>
        <w:t>ر.ک: حائرى یزدى، مهدى، حکمت و حکومت، ص 186 - 187(به اختصار</w:t>
      </w:r>
      <w:r w:rsidRPr="002B7F7D">
        <w:rPr>
          <w:rFonts w:ascii="Arial" w:eastAsia="Times New Roman" w:hAnsi="Arial" w:cs="Arial"/>
          <w:color w:val="000000"/>
          <w:sz w:val="28"/>
          <w:szCs w:val="28"/>
        </w:rPr>
        <w:t>).</w:t>
      </w:r>
    </w:p>
    <w:p w:rsidR="002B7F7D" w:rsidRPr="002B7F7D" w:rsidRDefault="002B7F7D" w:rsidP="002B7F7D">
      <w:pPr>
        <w:spacing w:after="0" w:line="240" w:lineRule="auto"/>
        <w:rPr>
          <w:rFonts w:ascii="Arial" w:eastAsia="Times New Roman" w:hAnsi="Arial" w:cs="Arial"/>
          <w:color w:val="000000"/>
          <w:sz w:val="28"/>
          <w:szCs w:val="28"/>
        </w:rPr>
      </w:pPr>
      <w:hyperlink r:id="rId29" w:tooltip="" w:history="1">
        <w:r w:rsidRPr="002B7F7D">
          <w:rPr>
            <w:rFonts w:ascii="Arial" w:eastAsia="Times New Roman" w:hAnsi="Arial" w:cs="Arial"/>
            <w:color w:val="0000FF"/>
            <w:sz w:val="28"/>
            <w:szCs w:val="28"/>
            <w:bdr w:val="none" w:sz="0" w:space="0" w:color="auto" w:frame="1"/>
          </w:rPr>
          <w:t>[4]</w:t>
        </w:r>
      </w:hyperlink>
      <w:r w:rsidRPr="002B7F7D">
        <w:rPr>
          <w:rFonts w:ascii="Arial" w:eastAsia="Times New Roman" w:hAnsi="Arial" w:cs="Arial"/>
          <w:color w:val="000000"/>
          <w:sz w:val="28"/>
          <w:szCs w:val="28"/>
        </w:rPr>
        <w:t xml:space="preserve">. </w:t>
      </w:r>
      <w:r w:rsidRPr="002B7F7D">
        <w:rPr>
          <w:rFonts w:ascii="Arial" w:eastAsia="Times New Roman" w:hAnsi="Arial" w:cs="Arial"/>
          <w:color w:val="000000"/>
          <w:sz w:val="28"/>
          <w:szCs w:val="28"/>
          <w:rtl/>
        </w:rPr>
        <w:t>بقره، 30</w:t>
      </w:r>
      <w:r w:rsidRPr="002B7F7D">
        <w:rPr>
          <w:rFonts w:ascii="Arial" w:eastAsia="Times New Roman" w:hAnsi="Arial" w:cs="Arial"/>
          <w:color w:val="000000"/>
          <w:sz w:val="28"/>
          <w:szCs w:val="28"/>
        </w:rPr>
        <w:t>.</w:t>
      </w:r>
    </w:p>
    <w:p w:rsidR="002B7F7D" w:rsidRPr="002B7F7D" w:rsidRDefault="002B7F7D" w:rsidP="002B7F7D">
      <w:pPr>
        <w:spacing w:after="0" w:line="240" w:lineRule="auto"/>
        <w:rPr>
          <w:rFonts w:ascii="Arial" w:eastAsia="Times New Roman" w:hAnsi="Arial" w:cs="Arial"/>
          <w:color w:val="000000"/>
          <w:sz w:val="28"/>
          <w:szCs w:val="28"/>
        </w:rPr>
      </w:pPr>
      <w:hyperlink r:id="rId30" w:tooltip="" w:history="1">
        <w:r w:rsidRPr="002B7F7D">
          <w:rPr>
            <w:rFonts w:ascii="Arial" w:eastAsia="Times New Roman" w:hAnsi="Arial" w:cs="Arial"/>
            <w:color w:val="0000FF"/>
            <w:sz w:val="28"/>
            <w:szCs w:val="28"/>
            <w:bdr w:val="none" w:sz="0" w:space="0" w:color="auto" w:frame="1"/>
          </w:rPr>
          <w:t>[5]</w:t>
        </w:r>
      </w:hyperlink>
      <w:r w:rsidRPr="002B7F7D">
        <w:rPr>
          <w:rFonts w:ascii="Arial" w:eastAsia="Times New Roman" w:hAnsi="Arial" w:cs="Arial"/>
          <w:color w:val="000000"/>
          <w:sz w:val="28"/>
          <w:szCs w:val="28"/>
        </w:rPr>
        <w:t xml:space="preserve">. </w:t>
      </w:r>
      <w:r w:rsidRPr="002B7F7D">
        <w:rPr>
          <w:rFonts w:ascii="Arial" w:eastAsia="Times New Roman" w:hAnsi="Arial" w:cs="Arial"/>
          <w:color w:val="000000"/>
          <w:sz w:val="28"/>
          <w:szCs w:val="28"/>
          <w:rtl/>
        </w:rPr>
        <w:t>سوره ص، 26</w:t>
      </w:r>
      <w:r w:rsidRPr="002B7F7D">
        <w:rPr>
          <w:rFonts w:ascii="Arial" w:eastAsia="Times New Roman" w:hAnsi="Arial" w:cs="Arial"/>
          <w:color w:val="000000"/>
          <w:sz w:val="28"/>
          <w:szCs w:val="28"/>
        </w:rPr>
        <w:t>.</w:t>
      </w:r>
    </w:p>
    <w:p w:rsidR="002B7F7D" w:rsidRPr="002B7F7D" w:rsidRDefault="002B7F7D" w:rsidP="002B7F7D">
      <w:pPr>
        <w:spacing w:after="0" w:line="240" w:lineRule="auto"/>
        <w:rPr>
          <w:rFonts w:ascii="Arial" w:eastAsia="Times New Roman" w:hAnsi="Arial" w:cs="Arial"/>
          <w:color w:val="000000"/>
          <w:sz w:val="28"/>
          <w:szCs w:val="28"/>
        </w:rPr>
      </w:pPr>
      <w:hyperlink r:id="rId31" w:tooltip="" w:history="1">
        <w:r w:rsidRPr="002B7F7D">
          <w:rPr>
            <w:rFonts w:ascii="Arial" w:eastAsia="Times New Roman" w:hAnsi="Arial" w:cs="Arial"/>
            <w:color w:val="0000FF"/>
            <w:sz w:val="28"/>
            <w:szCs w:val="28"/>
            <w:bdr w:val="none" w:sz="0" w:space="0" w:color="auto" w:frame="1"/>
          </w:rPr>
          <w:t>[6]</w:t>
        </w:r>
      </w:hyperlink>
      <w:r w:rsidRPr="002B7F7D">
        <w:rPr>
          <w:rFonts w:ascii="Arial" w:eastAsia="Times New Roman" w:hAnsi="Arial" w:cs="Arial"/>
          <w:color w:val="000000"/>
          <w:sz w:val="28"/>
          <w:szCs w:val="28"/>
        </w:rPr>
        <w:t xml:space="preserve">. </w:t>
      </w:r>
      <w:r w:rsidRPr="002B7F7D">
        <w:rPr>
          <w:rFonts w:ascii="Arial" w:eastAsia="Times New Roman" w:hAnsi="Arial" w:cs="Arial"/>
          <w:color w:val="000000"/>
          <w:sz w:val="28"/>
          <w:szCs w:val="28"/>
          <w:rtl/>
        </w:rPr>
        <w:t>اطلاق؛ یعنى عدم تقیّد و اختصاص به مورد خاص</w:t>
      </w:r>
      <w:r w:rsidRPr="002B7F7D">
        <w:rPr>
          <w:rFonts w:ascii="Arial" w:eastAsia="Times New Roman" w:hAnsi="Arial" w:cs="Arial"/>
          <w:color w:val="000000"/>
          <w:sz w:val="28"/>
          <w:szCs w:val="28"/>
        </w:rPr>
        <w:t>.</w:t>
      </w:r>
    </w:p>
    <w:p w:rsidR="002B7F7D" w:rsidRPr="002B7F7D" w:rsidRDefault="002B7F7D" w:rsidP="002B7F7D">
      <w:pPr>
        <w:spacing w:after="0" w:line="240" w:lineRule="auto"/>
        <w:rPr>
          <w:rFonts w:ascii="Arial" w:eastAsia="Times New Roman" w:hAnsi="Arial" w:cs="Arial"/>
          <w:color w:val="000000"/>
          <w:sz w:val="28"/>
          <w:szCs w:val="28"/>
        </w:rPr>
      </w:pPr>
      <w:hyperlink r:id="rId32" w:tooltip="" w:history="1">
        <w:r w:rsidRPr="002B7F7D">
          <w:rPr>
            <w:rFonts w:ascii="Arial" w:eastAsia="Times New Roman" w:hAnsi="Arial" w:cs="Arial"/>
            <w:color w:val="0000FF"/>
            <w:sz w:val="28"/>
            <w:szCs w:val="28"/>
            <w:bdr w:val="none" w:sz="0" w:space="0" w:color="auto" w:frame="1"/>
          </w:rPr>
          <w:t>[7]</w:t>
        </w:r>
      </w:hyperlink>
      <w:r w:rsidRPr="002B7F7D">
        <w:rPr>
          <w:rFonts w:ascii="Arial" w:eastAsia="Times New Roman" w:hAnsi="Arial" w:cs="Arial"/>
          <w:color w:val="000000"/>
          <w:sz w:val="28"/>
          <w:szCs w:val="28"/>
        </w:rPr>
        <w:t xml:space="preserve">. </w:t>
      </w:r>
      <w:r w:rsidRPr="002B7F7D">
        <w:rPr>
          <w:rFonts w:ascii="Arial" w:eastAsia="Times New Roman" w:hAnsi="Arial" w:cs="Arial"/>
          <w:color w:val="000000"/>
          <w:sz w:val="28"/>
          <w:szCs w:val="28"/>
          <w:rtl/>
        </w:rPr>
        <w:t>به روایاتى که در دوره غیبت صغرا به صورت کتبى از ناحیه امام زمان(عج) به وسیله نوّاب خاص به دست راویان می‌رسید، «توقیع» می‌گویند</w:t>
      </w:r>
      <w:r w:rsidRPr="002B7F7D">
        <w:rPr>
          <w:rFonts w:ascii="Arial" w:eastAsia="Times New Roman" w:hAnsi="Arial" w:cs="Arial"/>
          <w:color w:val="000000"/>
          <w:sz w:val="28"/>
          <w:szCs w:val="28"/>
        </w:rPr>
        <w:t>.</w:t>
      </w:r>
    </w:p>
    <w:p w:rsidR="002B7F7D" w:rsidRPr="002B7F7D" w:rsidRDefault="002B7F7D" w:rsidP="002B7F7D">
      <w:pPr>
        <w:spacing w:after="0" w:line="240" w:lineRule="auto"/>
        <w:rPr>
          <w:rFonts w:ascii="Arial" w:eastAsia="Times New Roman" w:hAnsi="Arial" w:cs="Arial"/>
          <w:color w:val="000000"/>
          <w:sz w:val="28"/>
          <w:szCs w:val="28"/>
        </w:rPr>
      </w:pPr>
      <w:hyperlink r:id="rId33" w:tooltip="" w:history="1">
        <w:r w:rsidRPr="002B7F7D">
          <w:rPr>
            <w:rFonts w:ascii="Arial" w:eastAsia="Times New Roman" w:hAnsi="Arial" w:cs="Arial"/>
            <w:color w:val="0000FF"/>
            <w:sz w:val="28"/>
            <w:szCs w:val="28"/>
            <w:bdr w:val="none" w:sz="0" w:space="0" w:color="auto" w:frame="1"/>
          </w:rPr>
          <w:t>[8]</w:t>
        </w:r>
      </w:hyperlink>
      <w:r w:rsidRPr="002B7F7D">
        <w:rPr>
          <w:rFonts w:ascii="Arial" w:eastAsia="Times New Roman" w:hAnsi="Arial" w:cs="Arial"/>
          <w:color w:val="000000"/>
          <w:sz w:val="28"/>
          <w:szCs w:val="28"/>
        </w:rPr>
        <w:t xml:space="preserve">. </w:t>
      </w:r>
      <w:r w:rsidRPr="002B7F7D">
        <w:rPr>
          <w:rFonts w:ascii="Arial" w:eastAsia="Times New Roman" w:hAnsi="Arial" w:cs="Arial"/>
          <w:color w:val="000000"/>
          <w:sz w:val="28"/>
          <w:szCs w:val="28"/>
          <w:rtl/>
        </w:rPr>
        <w:t>شیخ صدوق، اکمال الدین، ج 2، ص 483، باب 45، التوقیعات، التوقیع الرابع</w:t>
      </w:r>
      <w:r w:rsidRPr="002B7F7D">
        <w:rPr>
          <w:rFonts w:ascii="Arial" w:eastAsia="Times New Roman" w:hAnsi="Arial" w:cs="Arial"/>
          <w:color w:val="000000"/>
          <w:sz w:val="28"/>
          <w:szCs w:val="28"/>
        </w:rPr>
        <w:t>.</w:t>
      </w:r>
    </w:p>
    <w:p w:rsidR="002B7F7D" w:rsidRPr="002B7F7D" w:rsidRDefault="002B7F7D" w:rsidP="002B7F7D">
      <w:pPr>
        <w:spacing w:after="0" w:line="240" w:lineRule="auto"/>
        <w:rPr>
          <w:rFonts w:ascii="Arial" w:eastAsia="Times New Roman" w:hAnsi="Arial" w:cs="Arial"/>
          <w:color w:val="000000"/>
          <w:sz w:val="28"/>
          <w:szCs w:val="28"/>
        </w:rPr>
      </w:pPr>
      <w:hyperlink r:id="rId34" w:tooltip="" w:history="1">
        <w:r w:rsidRPr="002B7F7D">
          <w:rPr>
            <w:rFonts w:ascii="Arial" w:eastAsia="Times New Roman" w:hAnsi="Arial" w:cs="Arial"/>
            <w:color w:val="0000FF"/>
            <w:sz w:val="28"/>
            <w:szCs w:val="28"/>
            <w:bdr w:val="none" w:sz="0" w:space="0" w:color="auto" w:frame="1"/>
          </w:rPr>
          <w:t>[9]</w:t>
        </w:r>
      </w:hyperlink>
      <w:r w:rsidRPr="002B7F7D">
        <w:rPr>
          <w:rFonts w:ascii="Arial" w:eastAsia="Times New Roman" w:hAnsi="Arial" w:cs="Arial"/>
          <w:color w:val="000000"/>
          <w:sz w:val="28"/>
          <w:szCs w:val="28"/>
        </w:rPr>
        <w:t xml:space="preserve">. </w:t>
      </w:r>
      <w:r w:rsidRPr="002B7F7D">
        <w:rPr>
          <w:rFonts w:ascii="Arial" w:eastAsia="Times New Roman" w:hAnsi="Arial" w:cs="Arial"/>
          <w:color w:val="000000"/>
          <w:sz w:val="28"/>
          <w:szCs w:val="28"/>
          <w:rtl/>
        </w:rPr>
        <w:t>شیخ طوسى، الغیبة، ص 177</w:t>
      </w:r>
      <w:r w:rsidRPr="002B7F7D">
        <w:rPr>
          <w:rFonts w:ascii="Arial" w:eastAsia="Times New Roman" w:hAnsi="Arial" w:cs="Arial"/>
          <w:color w:val="000000"/>
          <w:sz w:val="28"/>
          <w:szCs w:val="28"/>
        </w:rPr>
        <w:t>.</w:t>
      </w:r>
    </w:p>
    <w:p w:rsidR="002B7F7D" w:rsidRPr="002B7F7D" w:rsidRDefault="002B7F7D" w:rsidP="002B7F7D">
      <w:pPr>
        <w:spacing w:after="0" w:line="240" w:lineRule="auto"/>
        <w:rPr>
          <w:rFonts w:ascii="Arial" w:eastAsia="Times New Roman" w:hAnsi="Arial" w:cs="Arial"/>
          <w:color w:val="000000"/>
          <w:sz w:val="28"/>
          <w:szCs w:val="28"/>
        </w:rPr>
      </w:pPr>
      <w:hyperlink r:id="rId35" w:tooltip="" w:history="1">
        <w:r w:rsidRPr="002B7F7D">
          <w:rPr>
            <w:rFonts w:ascii="Arial" w:eastAsia="Times New Roman" w:hAnsi="Arial" w:cs="Arial"/>
            <w:color w:val="0000FF"/>
            <w:sz w:val="28"/>
            <w:szCs w:val="28"/>
            <w:bdr w:val="none" w:sz="0" w:space="0" w:color="auto" w:frame="1"/>
          </w:rPr>
          <w:t>[10]</w:t>
        </w:r>
      </w:hyperlink>
      <w:r w:rsidRPr="002B7F7D">
        <w:rPr>
          <w:rFonts w:ascii="Arial" w:eastAsia="Times New Roman" w:hAnsi="Arial" w:cs="Arial"/>
          <w:color w:val="000000"/>
          <w:sz w:val="28"/>
          <w:szCs w:val="28"/>
        </w:rPr>
        <w:t xml:space="preserve">. </w:t>
      </w:r>
      <w:r w:rsidRPr="002B7F7D">
        <w:rPr>
          <w:rFonts w:ascii="Arial" w:eastAsia="Times New Roman" w:hAnsi="Arial" w:cs="Arial"/>
          <w:color w:val="000000"/>
          <w:sz w:val="28"/>
          <w:szCs w:val="28"/>
          <w:rtl/>
        </w:rPr>
        <w:t>ر.ک: شیخ حر عاملى، وسائل الشیعه، ج 18، ص 101، کتاب القضاء، أبواب صفات القاضى، باب 11، حدیث 9</w:t>
      </w:r>
      <w:r w:rsidRPr="002B7F7D">
        <w:rPr>
          <w:rFonts w:ascii="Arial" w:eastAsia="Times New Roman" w:hAnsi="Arial" w:cs="Arial"/>
          <w:color w:val="000000"/>
          <w:sz w:val="28"/>
          <w:szCs w:val="28"/>
        </w:rPr>
        <w:t>.</w:t>
      </w:r>
    </w:p>
    <w:p w:rsidR="002B7F7D" w:rsidRPr="002B7F7D" w:rsidRDefault="002B7F7D" w:rsidP="002B7F7D">
      <w:pPr>
        <w:spacing w:after="0" w:line="240" w:lineRule="auto"/>
        <w:rPr>
          <w:rFonts w:ascii="Arial" w:eastAsia="Times New Roman" w:hAnsi="Arial" w:cs="Arial"/>
          <w:color w:val="000000"/>
          <w:sz w:val="28"/>
          <w:szCs w:val="28"/>
        </w:rPr>
      </w:pPr>
      <w:hyperlink r:id="rId36" w:tooltip="" w:history="1">
        <w:r w:rsidRPr="002B7F7D">
          <w:rPr>
            <w:rFonts w:ascii="Arial" w:eastAsia="Times New Roman" w:hAnsi="Arial" w:cs="Arial"/>
            <w:color w:val="0000FF"/>
            <w:sz w:val="28"/>
            <w:szCs w:val="28"/>
            <w:bdr w:val="none" w:sz="0" w:space="0" w:color="auto" w:frame="1"/>
          </w:rPr>
          <w:t>[11]</w:t>
        </w:r>
      </w:hyperlink>
      <w:r w:rsidRPr="002B7F7D">
        <w:rPr>
          <w:rFonts w:ascii="Arial" w:eastAsia="Times New Roman" w:hAnsi="Arial" w:cs="Arial"/>
          <w:color w:val="000000"/>
          <w:sz w:val="28"/>
          <w:szCs w:val="28"/>
        </w:rPr>
        <w:t xml:space="preserve">. </w:t>
      </w:r>
      <w:r w:rsidRPr="002B7F7D">
        <w:rPr>
          <w:rFonts w:ascii="Arial" w:eastAsia="Times New Roman" w:hAnsi="Arial" w:cs="Arial"/>
          <w:color w:val="000000"/>
          <w:sz w:val="28"/>
          <w:szCs w:val="28"/>
          <w:rtl/>
        </w:rPr>
        <w:t>بیان این نکته که راوى مورد اعتماد و وثوق است، در اصطلاح علم رجال «توثیق» نامیده می‌شود</w:t>
      </w:r>
      <w:r w:rsidRPr="002B7F7D">
        <w:rPr>
          <w:rFonts w:ascii="Arial" w:eastAsia="Times New Roman" w:hAnsi="Arial" w:cs="Arial"/>
          <w:color w:val="000000"/>
          <w:sz w:val="28"/>
          <w:szCs w:val="28"/>
        </w:rPr>
        <w:t>.</w:t>
      </w:r>
    </w:p>
    <w:p w:rsidR="002B7F7D" w:rsidRPr="002B7F7D" w:rsidRDefault="002B7F7D" w:rsidP="002B7F7D">
      <w:pPr>
        <w:spacing w:after="0" w:line="240" w:lineRule="auto"/>
        <w:rPr>
          <w:rFonts w:ascii="Arial" w:eastAsia="Times New Roman" w:hAnsi="Arial" w:cs="Arial"/>
          <w:color w:val="000000"/>
          <w:sz w:val="28"/>
          <w:szCs w:val="28"/>
        </w:rPr>
      </w:pPr>
      <w:hyperlink r:id="rId37" w:tooltip="" w:history="1">
        <w:r w:rsidRPr="002B7F7D">
          <w:rPr>
            <w:rFonts w:ascii="Arial" w:eastAsia="Times New Roman" w:hAnsi="Arial" w:cs="Arial"/>
            <w:color w:val="0000FF"/>
            <w:sz w:val="28"/>
            <w:szCs w:val="28"/>
            <w:bdr w:val="none" w:sz="0" w:space="0" w:color="auto" w:frame="1"/>
          </w:rPr>
          <w:t>[12]</w:t>
        </w:r>
      </w:hyperlink>
      <w:r w:rsidRPr="002B7F7D">
        <w:rPr>
          <w:rFonts w:ascii="Arial" w:eastAsia="Times New Roman" w:hAnsi="Arial" w:cs="Arial"/>
          <w:color w:val="000000"/>
          <w:sz w:val="28"/>
          <w:szCs w:val="28"/>
        </w:rPr>
        <w:t xml:space="preserve">. </w:t>
      </w:r>
      <w:r w:rsidRPr="002B7F7D">
        <w:rPr>
          <w:rFonts w:ascii="Arial" w:eastAsia="Times New Roman" w:hAnsi="Arial" w:cs="Arial"/>
          <w:color w:val="000000"/>
          <w:sz w:val="28"/>
          <w:szCs w:val="28"/>
          <w:rtl/>
        </w:rPr>
        <w:t>ر.ک: تسترى، قاموس الرجال، ج 1، ص 786</w:t>
      </w:r>
      <w:r w:rsidRPr="002B7F7D">
        <w:rPr>
          <w:rFonts w:ascii="Arial" w:eastAsia="Times New Roman" w:hAnsi="Arial" w:cs="Arial"/>
          <w:color w:val="000000"/>
          <w:sz w:val="28"/>
          <w:szCs w:val="28"/>
        </w:rPr>
        <w:t>.</w:t>
      </w:r>
    </w:p>
    <w:p w:rsidR="002B7F7D" w:rsidRPr="002B7F7D" w:rsidRDefault="002B7F7D" w:rsidP="002B7F7D">
      <w:pPr>
        <w:spacing w:after="0" w:line="240" w:lineRule="auto"/>
        <w:rPr>
          <w:rFonts w:ascii="Arial" w:eastAsia="Times New Roman" w:hAnsi="Arial" w:cs="Arial"/>
          <w:color w:val="000000"/>
          <w:sz w:val="28"/>
          <w:szCs w:val="28"/>
        </w:rPr>
      </w:pPr>
      <w:hyperlink r:id="rId38" w:tooltip="" w:history="1">
        <w:r w:rsidRPr="002B7F7D">
          <w:rPr>
            <w:rFonts w:ascii="Arial" w:eastAsia="Times New Roman" w:hAnsi="Arial" w:cs="Arial"/>
            <w:color w:val="0000FF"/>
            <w:sz w:val="28"/>
            <w:szCs w:val="28"/>
            <w:bdr w:val="none" w:sz="0" w:space="0" w:color="auto" w:frame="1"/>
          </w:rPr>
          <w:t>[13]</w:t>
        </w:r>
      </w:hyperlink>
      <w:r w:rsidRPr="002B7F7D">
        <w:rPr>
          <w:rFonts w:ascii="Arial" w:eastAsia="Times New Roman" w:hAnsi="Arial" w:cs="Arial"/>
          <w:color w:val="000000"/>
          <w:sz w:val="28"/>
          <w:szCs w:val="28"/>
        </w:rPr>
        <w:t xml:space="preserve">. </w:t>
      </w:r>
      <w:r w:rsidRPr="002B7F7D">
        <w:rPr>
          <w:rFonts w:ascii="Arial" w:eastAsia="Times New Roman" w:hAnsi="Arial" w:cs="Arial"/>
          <w:color w:val="000000"/>
          <w:sz w:val="28"/>
          <w:szCs w:val="28"/>
          <w:rtl/>
        </w:rPr>
        <w:t>این مطلب به عنوان یکى از راه‌هاى توثیق که عمومیت دارد در کتاب «تحریر المقال فى کلیات علم الرجال» آمده است. ر.ک: هادوى تهرانى، مهدى، تحریر المقال فى کلیات علم الرجال، ص 109 - 111</w:t>
      </w:r>
      <w:r w:rsidRPr="002B7F7D">
        <w:rPr>
          <w:rFonts w:ascii="Arial" w:eastAsia="Times New Roman" w:hAnsi="Arial" w:cs="Arial"/>
          <w:color w:val="000000"/>
          <w:sz w:val="28"/>
          <w:szCs w:val="28"/>
        </w:rPr>
        <w:t>.</w:t>
      </w:r>
    </w:p>
    <w:p w:rsidR="002B7F7D" w:rsidRPr="002B7F7D" w:rsidRDefault="002B7F7D" w:rsidP="002B7F7D">
      <w:pPr>
        <w:spacing w:after="0" w:line="240" w:lineRule="auto"/>
        <w:rPr>
          <w:rFonts w:ascii="Arial" w:eastAsia="Times New Roman" w:hAnsi="Arial" w:cs="Arial"/>
          <w:color w:val="000000"/>
          <w:sz w:val="28"/>
          <w:szCs w:val="28"/>
        </w:rPr>
      </w:pPr>
      <w:hyperlink r:id="rId39" w:tooltip="" w:history="1">
        <w:r w:rsidRPr="002B7F7D">
          <w:rPr>
            <w:rFonts w:ascii="Arial" w:eastAsia="Times New Roman" w:hAnsi="Arial" w:cs="Arial"/>
            <w:color w:val="0000FF"/>
            <w:sz w:val="28"/>
            <w:szCs w:val="28"/>
            <w:bdr w:val="none" w:sz="0" w:space="0" w:color="auto" w:frame="1"/>
          </w:rPr>
          <w:t>[14]</w:t>
        </w:r>
      </w:hyperlink>
      <w:r w:rsidRPr="002B7F7D">
        <w:rPr>
          <w:rFonts w:ascii="Arial" w:eastAsia="Times New Roman" w:hAnsi="Arial" w:cs="Arial"/>
          <w:color w:val="000000"/>
          <w:sz w:val="28"/>
          <w:szCs w:val="28"/>
        </w:rPr>
        <w:t xml:space="preserve">. </w:t>
      </w:r>
      <w:r w:rsidRPr="002B7F7D">
        <w:rPr>
          <w:rFonts w:ascii="Arial" w:eastAsia="Times New Roman" w:hAnsi="Arial" w:cs="Arial"/>
          <w:color w:val="000000"/>
          <w:sz w:val="28"/>
          <w:szCs w:val="28"/>
          <w:rtl/>
        </w:rPr>
        <w:t>ر.ک: حائرى، سید کاظم، ولایة الأمر فى عصر الغیبة، ص 122 - 125</w:t>
      </w:r>
      <w:r w:rsidRPr="002B7F7D">
        <w:rPr>
          <w:rFonts w:ascii="Arial" w:eastAsia="Times New Roman" w:hAnsi="Arial" w:cs="Arial"/>
          <w:color w:val="000000"/>
          <w:sz w:val="28"/>
          <w:szCs w:val="28"/>
        </w:rPr>
        <w:t>.</w:t>
      </w:r>
    </w:p>
    <w:p w:rsidR="002B7F7D" w:rsidRPr="002B7F7D" w:rsidRDefault="002B7F7D" w:rsidP="002B7F7D">
      <w:pPr>
        <w:spacing w:after="0" w:line="240" w:lineRule="auto"/>
        <w:rPr>
          <w:rFonts w:ascii="Arial" w:eastAsia="Times New Roman" w:hAnsi="Arial" w:cs="Arial"/>
          <w:color w:val="000000"/>
          <w:sz w:val="28"/>
          <w:szCs w:val="28"/>
        </w:rPr>
      </w:pPr>
      <w:hyperlink r:id="rId40" w:tooltip="" w:history="1">
        <w:r w:rsidRPr="002B7F7D">
          <w:rPr>
            <w:rFonts w:ascii="Arial" w:eastAsia="Times New Roman" w:hAnsi="Arial" w:cs="Arial"/>
            <w:color w:val="0000FF"/>
            <w:sz w:val="28"/>
            <w:szCs w:val="28"/>
            <w:bdr w:val="none" w:sz="0" w:space="0" w:color="auto" w:frame="1"/>
          </w:rPr>
          <w:t>[15]</w:t>
        </w:r>
      </w:hyperlink>
      <w:r w:rsidRPr="002B7F7D">
        <w:rPr>
          <w:rFonts w:ascii="Arial" w:eastAsia="Times New Roman" w:hAnsi="Arial" w:cs="Arial"/>
          <w:color w:val="000000"/>
          <w:sz w:val="28"/>
          <w:szCs w:val="28"/>
        </w:rPr>
        <w:t xml:space="preserve">. </w:t>
      </w:r>
      <w:r w:rsidRPr="002B7F7D">
        <w:rPr>
          <w:rFonts w:ascii="Arial" w:eastAsia="Times New Roman" w:hAnsi="Arial" w:cs="Arial"/>
          <w:color w:val="000000"/>
          <w:sz w:val="28"/>
          <w:szCs w:val="28"/>
          <w:rtl/>
        </w:rPr>
        <w:t>ر.ک: حکمت و حکومت، ص 207 - 214</w:t>
      </w:r>
      <w:r w:rsidRPr="002B7F7D">
        <w:rPr>
          <w:rFonts w:ascii="Arial" w:eastAsia="Times New Roman" w:hAnsi="Arial" w:cs="Arial"/>
          <w:color w:val="000000"/>
          <w:sz w:val="28"/>
          <w:szCs w:val="28"/>
        </w:rPr>
        <w:t>.</w:t>
      </w:r>
    </w:p>
    <w:p w:rsidR="002B7F7D" w:rsidRPr="002B7F7D" w:rsidRDefault="002B7F7D" w:rsidP="002B7F7D">
      <w:pPr>
        <w:spacing w:after="0" w:line="240" w:lineRule="auto"/>
        <w:rPr>
          <w:rFonts w:ascii="Arial" w:eastAsia="Times New Roman" w:hAnsi="Arial" w:cs="Arial"/>
          <w:color w:val="000000"/>
          <w:sz w:val="28"/>
          <w:szCs w:val="28"/>
        </w:rPr>
      </w:pPr>
      <w:hyperlink r:id="rId41" w:tooltip="" w:history="1">
        <w:r w:rsidRPr="002B7F7D">
          <w:rPr>
            <w:rFonts w:ascii="Arial" w:eastAsia="Times New Roman" w:hAnsi="Arial" w:cs="Arial"/>
            <w:color w:val="0000FF"/>
            <w:sz w:val="28"/>
            <w:szCs w:val="28"/>
            <w:bdr w:val="none" w:sz="0" w:space="0" w:color="auto" w:frame="1"/>
          </w:rPr>
          <w:t>[16]</w:t>
        </w:r>
      </w:hyperlink>
      <w:r w:rsidRPr="002B7F7D">
        <w:rPr>
          <w:rFonts w:ascii="Arial" w:eastAsia="Times New Roman" w:hAnsi="Arial" w:cs="Arial"/>
          <w:color w:val="000000"/>
          <w:sz w:val="28"/>
          <w:szCs w:val="28"/>
        </w:rPr>
        <w:t xml:space="preserve">. </w:t>
      </w:r>
      <w:r w:rsidRPr="002B7F7D">
        <w:rPr>
          <w:rFonts w:ascii="Arial" w:eastAsia="Times New Roman" w:hAnsi="Arial" w:cs="Arial"/>
          <w:color w:val="000000"/>
          <w:sz w:val="28"/>
          <w:szCs w:val="28"/>
          <w:rtl/>
        </w:rPr>
        <w:t>احتجاج؛ یعنى استدلال و اقامه حجت</w:t>
      </w:r>
      <w:r w:rsidRPr="002B7F7D">
        <w:rPr>
          <w:rFonts w:ascii="Arial" w:eastAsia="Times New Roman" w:hAnsi="Arial" w:cs="Arial"/>
          <w:color w:val="000000"/>
          <w:sz w:val="28"/>
          <w:szCs w:val="28"/>
        </w:rPr>
        <w:t>.</w:t>
      </w:r>
    </w:p>
    <w:bookmarkEnd w:id="0"/>
    <w:p w:rsidR="00A55663" w:rsidRPr="002B7F7D" w:rsidRDefault="00A55663" w:rsidP="002B7F7D">
      <w:pPr>
        <w:rPr>
          <w:rFonts w:ascii="Arial" w:hAnsi="Arial" w:cs="Arial"/>
          <w:sz w:val="28"/>
          <w:szCs w:val="28"/>
          <w:rtl/>
        </w:rPr>
      </w:pPr>
    </w:p>
    <w:sectPr w:rsidR="00A55663" w:rsidRPr="002B7F7D" w:rsidSect="00C9554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97D"/>
    <w:rsid w:val="000D0FF0"/>
    <w:rsid w:val="0017497D"/>
    <w:rsid w:val="001F766A"/>
    <w:rsid w:val="002B7F7D"/>
    <w:rsid w:val="00507070"/>
    <w:rsid w:val="007A5F04"/>
    <w:rsid w:val="00A55663"/>
    <w:rsid w:val="00C95540"/>
    <w:rsid w:val="00E12CD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497D"/>
    <w:rPr>
      <w:color w:val="0000FF"/>
      <w:u w:val="single"/>
    </w:rPr>
  </w:style>
  <w:style w:type="character" w:styleId="Strong">
    <w:name w:val="Strong"/>
    <w:basedOn w:val="DefaultParagraphFont"/>
    <w:uiPriority w:val="22"/>
    <w:qFormat/>
    <w:rsid w:val="0017497D"/>
    <w:rPr>
      <w:b/>
      <w:bCs/>
    </w:rPr>
  </w:style>
  <w:style w:type="paragraph" w:styleId="BalloonText">
    <w:name w:val="Balloon Text"/>
    <w:basedOn w:val="Normal"/>
    <w:link w:val="BalloonTextChar"/>
    <w:uiPriority w:val="99"/>
    <w:semiHidden/>
    <w:unhideWhenUsed/>
    <w:rsid w:val="001749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97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497D"/>
    <w:rPr>
      <w:color w:val="0000FF"/>
      <w:u w:val="single"/>
    </w:rPr>
  </w:style>
  <w:style w:type="character" w:styleId="Strong">
    <w:name w:val="Strong"/>
    <w:basedOn w:val="DefaultParagraphFont"/>
    <w:uiPriority w:val="22"/>
    <w:qFormat/>
    <w:rsid w:val="0017497D"/>
    <w:rPr>
      <w:b/>
      <w:bCs/>
    </w:rPr>
  </w:style>
  <w:style w:type="paragraph" w:styleId="BalloonText">
    <w:name w:val="Balloon Text"/>
    <w:basedOn w:val="Normal"/>
    <w:link w:val="BalloonTextChar"/>
    <w:uiPriority w:val="99"/>
    <w:semiHidden/>
    <w:unhideWhenUsed/>
    <w:rsid w:val="001749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97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552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slamquest.net/fa/archive/question/fa1866" TargetMode="External"/><Relationship Id="rId13" Type="http://schemas.openxmlformats.org/officeDocument/2006/relationships/hyperlink" Target="http://www.islamquest.net/fa/archive/question/fa258" TargetMode="External"/><Relationship Id="rId18" Type="http://schemas.openxmlformats.org/officeDocument/2006/relationships/hyperlink" Target="http://www.islamquest.net/fa/archive/question/fa258" TargetMode="External"/><Relationship Id="rId26" Type="http://schemas.openxmlformats.org/officeDocument/2006/relationships/hyperlink" Target="http://www.islamquest.net/fa/archive/question/fa258" TargetMode="External"/><Relationship Id="rId39" Type="http://schemas.openxmlformats.org/officeDocument/2006/relationships/hyperlink" Target="http://www.islamquest.net/fa/archive/question/fa258" TargetMode="External"/><Relationship Id="rId3" Type="http://schemas.openxmlformats.org/officeDocument/2006/relationships/settings" Target="settings.xml"/><Relationship Id="rId21" Type="http://schemas.openxmlformats.org/officeDocument/2006/relationships/hyperlink" Target="http://www.islamquest.net/fa/archive/question/fa258" TargetMode="External"/><Relationship Id="rId34" Type="http://schemas.openxmlformats.org/officeDocument/2006/relationships/hyperlink" Target="http://www.islamquest.net/fa/archive/question/fa258" TargetMode="External"/><Relationship Id="rId42" Type="http://schemas.openxmlformats.org/officeDocument/2006/relationships/fontTable" Target="fontTable.xml"/><Relationship Id="rId7" Type="http://schemas.openxmlformats.org/officeDocument/2006/relationships/hyperlink" Target="http://www.islamquest.net/fa/archive/question/fa205" TargetMode="External"/><Relationship Id="rId12" Type="http://schemas.openxmlformats.org/officeDocument/2006/relationships/hyperlink" Target="http://www.islamquest.net/fa/archive/question/fa258" TargetMode="External"/><Relationship Id="rId17" Type="http://schemas.openxmlformats.org/officeDocument/2006/relationships/hyperlink" Target="http://www.islamquest.net/fa/archive/question/fa258" TargetMode="External"/><Relationship Id="rId25" Type="http://schemas.openxmlformats.org/officeDocument/2006/relationships/hyperlink" Target="http://www.islamquest.net/fa/archive/question/fa258" TargetMode="External"/><Relationship Id="rId33" Type="http://schemas.openxmlformats.org/officeDocument/2006/relationships/hyperlink" Target="http://www.islamquest.net/fa/archive/question/fa258" TargetMode="External"/><Relationship Id="rId38" Type="http://schemas.openxmlformats.org/officeDocument/2006/relationships/hyperlink" Target="http://www.islamquest.net/fa/archive/question/fa258" TargetMode="External"/><Relationship Id="rId2" Type="http://schemas.microsoft.com/office/2007/relationships/stylesWithEffects" Target="stylesWithEffects.xml"/><Relationship Id="rId16" Type="http://schemas.openxmlformats.org/officeDocument/2006/relationships/hyperlink" Target="http://www.islamquest.net/fa/archive/question/fa258" TargetMode="External"/><Relationship Id="rId20" Type="http://schemas.openxmlformats.org/officeDocument/2006/relationships/hyperlink" Target="http://www.islamquest.net/fa/archive/question/fa258" TargetMode="External"/><Relationship Id="rId29" Type="http://schemas.openxmlformats.org/officeDocument/2006/relationships/hyperlink" Target="http://www.islamquest.net/fa/archive/question/fa258" TargetMode="External"/><Relationship Id="rId41" Type="http://schemas.openxmlformats.org/officeDocument/2006/relationships/hyperlink" Target="http://www.islamquest.net/fa/archive/question/fa258" TargetMode="External"/><Relationship Id="rId1" Type="http://schemas.openxmlformats.org/officeDocument/2006/relationships/styles" Target="styles.xml"/><Relationship Id="rId6" Type="http://schemas.openxmlformats.org/officeDocument/2006/relationships/hyperlink" Target="http://www.islamquest.net/fa/archive/question/fa202" TargetMode="External"/><Relationship Id="rId11" Type="http://schemas.openxmlformats.org/officeDocument/2006/relationships/hyperlink" Target="http://www.islamquest.net/fa/archive/question/fa258" TargetMode="External"/><Relationship Id="rId24" Type="http://schemas.openxmlformats.org/officeDocument/2006/relationships/hyperlink" Target="http://www.islamquest.net/fa/archive/question/fa258" TargetMode="External"/><Relationship Id="rId32" Type="http://schemas.openxmlformats.org/officeDocument/2006/relationships/hyperlink" Target="http://www.islamquest.net/fa/archive/question/fa258" TargetMode="External"/><Relationship Id="rId37" Type="http://schemas.openxmlformats.org/officeDocument/2006/relationships/hyperlink" Target="http://www.islamquest.net/fa/archive/question/fa258" TargetMode="External"/><Relationship Id="rId40" Type="http://schemas.openxmlformats.org/officeDocument/2006/relationships/hyperlink" Target="http://www.islamquest.net/fa/archive/question/fa258" TargetMode="External"/><Relationship Id="rId5" Type="http://schemas.openxmlformats.org/officeDocument/2006/relationships/hyperlink" Target="http://www.islamquest.net/fa/archive/question/fa220" TargetMode="External"/><Relationship Id="rId15" Type="http://schemas.openxmlformats.org/officeDocument/2006/relationships/hyperlink" Target="http://www.islamquest.net/fa/archive/question/fa258" TargetMode="External"/><Relationship Id="rId23" Type="http://schemas.openxmlformats.org/officeDocument/2006/relationships/hyperlink" Target="http://www.islamquest.net/fa/archive/question/fa258" TargetMode="External"/><Relationship Id="rId28" Type="http://schemas.openxmlformats.org/officeDocument/2006/relationships/hyperlink" Target="http://www.islamquest.net/fa/archive/question/fa258" TargetMode="External"/><Relationship Id="rId36" Type="http://schemas.openxmlformats.org/officeDocument/2006/relationships/hyperlink" Target="http://www.islamquest.net/fa/archive/question/fa258" TargetMode="External"/><Relationship Id="rId10" Type="http://schemas.openxmlformats.org/officeDocument/2006/relationships/hyperlink" Target="http://www.islamquest.net/fa/archive/question/fa6504" TargetMode="External"/><Relationship Id="rId19" Type="http://schemas.openxmlformats.org/officeDocument/2006/relationships/hyperlink" Target="http://www.islamquest.net/fa/archive/question/fa258" TargetMode="External"/><Relationship Id="rId31" Type="http://schemas.openxmlformats.org/officeDocument/2006/relationships/hyperlink" Target="http://www.islamquest.net/fa/archive/question/fa258" TargetMode="External"/><Relationship Id="rId4" Type="http://schemas.openxmlformats.org/officeDocument/2006/relationships/webSettings" Target="webSettings.xml"/><Relationship Id="rId9" Type="http://schemas.openxmlformats.org/officeDocument/2006/relationships/hyperlink" Target="http://www.islamquest.net/fa/archive/question/fa258" TargetMode="External"/><Relationship Id="rId14" Type="http://schemas.openxmlformats.org/officeDocument/2006/relationships/hyperlink" Target="http://www.islamquest.net/fa/archive/question/fa258" TargetMode="External"/><Relationship Id="rId22" Type="http://schemas.openxmlformats.org/officeDocument/2006/relationships/hyperlink" Target="http://www.islamquest.net/fa/archive/question/fa258" TargetMode="External"/><Relationship Id="rId27" Type="http://schemas.openxmlformats.org/officeDocument/2006/relationships/hyperlink" Target="http://www.islamquest.net/fa/archive/question/fa258" TargetMode="External"/><Relationship Id="rId30" Type="http://schemas.openxmlformats.org/officeDocument/2006/relationships/hyperlink" Target="http://www.islamquest.net/fa/archive/question/fa258" TargetMode="External"/><Relationship Id="rId35" Type="http://schemas.openxmlformats.org/officeDocument/2006/relationships/hyperlink" Target="http://www.islamquest.net/fa/archive/question/fa258"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1880</Words>
  <Characters>10720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ABC</cp:lastModifiedBy>
  <cp:revision>2</cp:revision>
  <dcterms:created xsi:type="dcterms:W3CDTF">2018-12-27T16:47:00Z</dcterms:created>
  <dcterms:modified xsi:type="dcterms:W3CDTF">2018-12-27T16:47:00Z</dcterms:modified>
</cp:coreProperties>
</file>